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234C" w14:textId="6AB7452C" w:rsidR="00784691" w:rsidRPr="00F30B6D" w:rsidRDefault="00F30B6D" w:rsidP="00F30B6D">
      <w:pPr>
        <w:spacing w:after="0" w:line="240" w:lineRule="auto"/>
        <w:rPr>
          <w:rFonts w:ascii="Trebuchet MS" w:hAnsi="Trebuchet MS"/>
          <w:lang w:val="en-US"/>
        </w:rPr>
      </w:pPr>
      <w:r w:rsidRPr="003C19CF">
        <w:rPr>
          <w:rFonts w:ascii="Trebuchet MS" w:hAnsi="Trebuchet MS"/>
          <w:b/>
          <w:lang w:val="en-US"/>
        </w:rPr>
        <w:t>To</w:t>
      </w:r>
      <w:r>
        <w:rPr>
          <w:rFonts w:ascii="Trebuchet MS" w:hAnsi="Trebuchet MS"/>
          <w:lang w:val="en-US"/>
        </w:rPr>
        <w:t xml:space="preserve"> </w:t>
      </w:r>
      <w:r w:rsidRPr="007C1E43">
        <w:rPr>
          <w:rFonts w:ascii="Trebuchet MS" w:hAnsi="Trebuchet MS"/>
          <w:lang w:val="en-US"/>
        </w:rPr>
        <w:t>Honorable Minister of Health</w:t>
      </w:r>
      <w:r w:rsidR="00434216" w:rsidRPr="007C1E43">
        <w:rPr>
          <w:rFonts w:ascii="Trebuchet MS" w:hAnsi="Trebuchet MS"/>
          <w:lang w:val="en-US"/>
        </w:rPr>
        <w:t xml:space="preserve"> </w:t>
      </w:r>
      <w:r w:rsidR="00273840" w:rsidRPr="007C1E43">
        <w:rPr>
          <w:rFonts w:ascii="Trebuchet MS" w:hAnsi="Trebuchet MS"/>
          <w:color w:val="ED7D31" w:themeColor="accent2"/>
          <w:lang w:val="en-US"/>
        </w:rPr>
        <w:t>Name of the minister</w:t>
      </w:r>
    </w:p>
    <w:p w14:paraId="530AFA31" w14:textId="4F6B1BB7" w:rsidR="00346DB6" w:rsidRPr="007C1E43" w:rsidRDefault="00F30B6D" w:rsidP="00F30B6D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Ministry of Health</w:t>
      </w:r>
    </w:p>
    <w:p w14:paraId="0FDFDD9F" w14:textId="672D135F" w:rsidR="00784691" w:rsidRPr="007C1E43" w:rsidRDefault="00D97DCA" w:rsidP="00F30B6D">
      <w:pPr>
        <w:spacing w:after="0" w:line="240" w:lineRule="auto"/>
        <w:rPr>
          <w:rFonts w:ascii="Trebuchet MS" w:hAnsi="Trebuchet MS"/>
          <w:lang w:val="en-US"/>
        </w:rPr>
      </w:pPr>
      <w:r w:rsidRPr="007C1E43">
        <w:rPr>
          <w:rFonts w:ascii="Trebuchet MS" w:hAnsi="Trebuchet MS"/>
          <w:lang w:val="en-US"/>
        </w:rPr>
        <w:t>Go</w:t>
      </w:r>
      <w:r w:rsidR="00732D4E" w:rsidRPr="007C1E43">
        <w:rPr>
          <w:rFonts w:ascii="Trebuchet MS" w:hAnsi="Trebuchet MS"/>
          <w:lang w:val="en-US"/>
        </w:rPr>
        <w:t xml:space="preserve">vernment of </w:t>
      </w:r>
      <w:r w:rsidR="00273840" w:rsidRPr="007C1E43">
        <w:rPr>
          <w:rFonts w:ascii="Trebuchet MS" w:hAnsi="Trebuchet MS"/>
          <w:color w:val="ED7D31" w:themeColor="accent2"/>
          <w:lang w:val="en-US"/>
        </w:rPr>
        <w:t>(</w:t>
      </w:r>
      <w:r w:rsidR="00FC363E" w:rsidRPr="007C1E43">
        <w:rPr>
          <w:rFonts w:ascii="Trebuchet MS" w:hAnsi="Trebuchet MS"/>
          <w:color w:val="ED7D31" w:themeColor="accent2"/>
          <w:lang w:val="en-US"/>
        </w:rPr>
        <w:t>Your Country</w:t>
      </w:r>
      <w:r w:rsidR="00273840" w:rsidRPr="007C1E43">
        <w:rPr>
          <w:rFonts w:ascii="Trebuchet MS" w:hAnsi="Trebuchet MS"/>
          <w:color w:val="ED7D31" w:themeColor="accent2"/>
          <w:lang w:val="en-US"/>
        </w:rPr>
        <w:t>)</w:t>
      </w:r>
      <w:r w:rsidRPr="007C1E43">
        <w:rPr>
          <w:rFonts w:ascii="Trebuchet MS" w:hAnsi="Trebuchet MS"/>
          <w:lang w:val="en-US"/>
        </w:rPr>
        <w:t xml:space="preserve"> </w:t>
      </w:r>
    </w:p>
    <w:p w14:paraId="6A4CDA1C" w14:textId="77777777" w:rsidR="007C1E43" w:rsidRPr="007C1E43" w:rsidRDefault="007C1E43" w:rsidP="00F30B6D">
      <w:pPr>
        <w:spacing w:after="0" w:line="240" w:lineRule="auto"/>
        <w:rPr>
          <w:rFonts w:ascii="Trebuchet MS" w:hAnsi="Trebuchet MS"/>
          <w:lang w:val="en-US"/>
        </w:rPr>
      </w:pPr>
    </w:p>
    <w:p w14:paraId="6D5F18CC" w14:textId="12CDE506" w:rsidR="00870AE0" w:rsidRPr="007C1E43" w:rsidRDefault="00784691" w:rsidP="00F30B6D">
      <w:pPr>
        <w:spacing w:after="0" w:line="240" w:lineRule="auto"/>
        <w:rPr>
          <w:rFonts w:ascii="Trebuchet MS" w:hAnsi="Trebuchet MS"/>
          <w:lang w:val="en-US"/>
        </w:rPr>
      </w:pPr>
      <w:proofErr w:type="gramStart"/>
      <w:r w:rsidRPr="003C19CF">
        <w:rPr>
          <w:rFonts w:ascii="Trebuchet MS" w:hAnsi="Trebuchet MS"/>
          <w:b/>
          <w:lang w:val="en-US"/>
        </w:rPr>
        <w:t>Cc</w:t>
      </w:r>
      <w:r w:rsidRPr="007C1E43">
        <w:rPr>
          <w:rFonts w:ascii="Trebuchet MS" w:hAnsi="Trebuchet MS"/>
          <w:lang w:val="en-US"/>
        </w:rPr>
        <w:t xml:space="preserve"> </w:t>
      </w:r>
      <w:r w:rsidR="003C19CF">
        <w:rPr>
          <w:rFonts w:ascii="Trebuchet MS" w:hAnsi="Trebuchet MS"/>
          <w:lang w:val="en-US"/>
        </w:rPr>
        <w:t xml:space="preserve"> </w:t>
      </w:r>
      <w:r w:rsidR="00870AE0" w:rsidRPr="007C1E43">
        <w:rPr>
          <w:rFonts w:ascii="Trebuchet MS" w:hAnsi="Trebuchet MS"/>
          <w:bCs/>
          <w:lang w:val="en-US"/>
        </w:rPr>
        <w:t>TB</w:t>
      </w:r>
      <w:proofErr w:type="gramEnd"/>
      <w:r w:rsidR="00870AE0" w:rsidRPr="007C1E43">
        <w:rPr>
          <w:rFonts w:ascii="Trebuchet MS" w:hAnsi="Trebuchet MS"/>
          <w:bCs/>
          <w:lang w:val="en-US"/>
        </w:rPr>
        <w:t xml:space="preserve"> </w:t>
      </w:r>
      <w:proofErr w:type="spellStart"/>
      <w:r w:rsidR="00A00354" w:rsidRPr="007C1E43">
        <w:rPr>
          <w:rFonts w:ascii="Trebuchet MS" w:hAnsi="Trebuchet MS"/>
          <w:bCs/>
          <w:lang w:val="en-US"/>
        </w:rPr>
        <w:t>Programme</w:t>
      </w:r>
      <w:proofErr w:type="spellEnd"/>
      <w:r w:rsidR="00A00354" w:rsidRPr="007C1E43">
        <w:rPr>
          <w:rFonts w:ascii="Trebuchet MS" w:hAnsi="Trebuchet MS"/>
          <w:bCs/>
          <w:lang w:val="en-US"/>
        </w:rPr>
        <w:t xml:space="preserve"> </w:t>
      </w:r>
      <w:r w:rsidR="00870AE0" w:rsidRPr="007C1E43">
        <w:rPr>
          <w:rFonts w:ascii="Trebuchet MS" w:hAnsi="Trebuchet MS"/>
          <w:bCs/>
          <w:lang w:val="en-US"/>
        </w:rPr>
        <w:t xml:space="preserve">Head,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(Your Country)</w:t>
      </w:r>
    </w:p>
    <w:p w14:paraId="04CFAD0C" w14:textId="112F365B" w:rsidR="007C1E43" w:rsidRPr="00DD04F3" w:rsidRDefault="00357446" w:rsidP="00F30B6D">
      <w:pPr>
        <w:spacing w:after="0" w:line="240" w:lineRule="auto"/>
        <w:rPr>
          <w:rFonts w:ascii="Trebuchet MS" w:hAnsi="Trebuchet MS"/>
          <w:b/>
          <w:bCs/>
          <w:iCs/>
          <w:color w:val="ED7D31" w:themeColor="accent2"/>
          <w:lang w:val="en-US"/>
        </w:rPr>
      </w:pPr>
      <w:r w:rsidRPr="007C1E43">
        <w:rPr>
          <w:rFonts w:ascii="Trebuchet MS" w:hAnsi="Trebuchet MS"/>
          <w:bCs/>
          <w:color w:val="ED7D31" w:themeColor="accent2"/>
          <w:lang w:val="en-US"/>
        </w:rPr>
        <w:t>Other Senior Government Official s</w:t>
      </w:r>
      <w:r w:rsidR="00A00354" w:rsidRPr="007C1E43">
        <w:rPr>
          <w:rFonts w:ascii="Trebuchet MS" w:hAnsi="Trebuchet MS"/>
          <w:bCs/>
          <w:color w:val="ED7D31" w:themeColor="accent2"/>
          <w:lang w:val="en-US"/>
        </w:rPr>
        <w:t xml:space="preserve">takeholder in TB </w:t>
      </w:r>
      <w:proofErr w:type="spellStart"/>
      <w:r w:rsidR="00A00354" w:rsidRPr="007C1E43">
        <w:rPr>
          <w:rFonts w:ascii="Trebuchet MS" w:hAnsi="Trebuchet MS"/>
          <w:bCs/>
          <w:color w:val="ED7D31" w:themeColor="accent2"/>
          <w:lang w:val="en-US"/>
        </w:rPr>
        <w:t>Programme</w:t>
      </w:r>
      <w:proofErr w:type="spellEnd"/>
      <w:r w:rsidR="00A00354" w:rsidRPr="007C1E43">
        <w:rPr>
          <w:rFonts w:ascii="Trebuchet MS" w:hAnsi="Trebuchet MS"/>
          <w:bCs/>
          <w:color w:val="ED7D31" w:themeColor="accent2"/>
          <w:lang w:val="en-US"/>
        </w:rPr>
        <w:t xml:space="preserve"> in Your Country</w:t>
      </w:r>
      <w:r w:rsidR="00870AE0" w:rsidRPr="007C1E43">
        <w:rPr>
          <w:rFonts w:ascii="Trebuchet MS" w:hAnsi="Trebuchet MS"/>
          <w:bCs/>
          <w:color w:val="ED7D31" w:themeColor="accent2"/>
          <w:lang w:val="en-US"/>
        </w:rPr>
        <w:t xml:space="preserve"> </w:t>
      </w:r>
    </w:p>
    <w:p w14:paraId="0AD4C235" w14:textId="1F2B0F72" w:rsidR="00F30B6D" w:rsidRPr="002137AA" w:rsidRDefault="00F30B6D" w:rsidP="00F30B6D">
      <w:pPr>
        <w:spacing w:after="0" w:line="240" w:lineRule="auto"/>
        <w:jc w:val="right"/>
        <w:rPr>
          <w:rFonts w:ascii="Trebuchet MS" w:hAnsi="Trebuchet MS"/>
          <w:bCs/>
          <w:lang w:val="en-US"/>
        </w:rPr>
      </w:pPr>
      <w:r w:rsidRPr="002137AA">
        <w:rPr>
          <w:rFonts w:ascii="Trebuchet MS" w:hAnsi="Trebuchet MS"/>
          <w:color w:val="ED7D31" w:themeColor="accent2"/>
          <w:lang w:val="en-US"/>
        </w:rPr>
        <w:t>Date</w:t>
      </w:r>
    </w:p>
    <w:p w14:paraId="271044E4" w14:textId="3BE8E80D" w:rsidR="00784691" w:rsidRPr="002137AA" w:rsidRDefault="00F30B6D" w:rsidP="00F30B6D">
      <w:pPr>
        <w:spacing w:after="0" w:line="240" w:lineRule="auto"/>
        <w:rPr>
          <w:rFonts w:ascii="Trebuchet MS" w:hAnsi="Trebuchet MS"/>
          <w:b/>
        </w:rPr>
      </w:pPr>
      <w:r w:rsidRPr="002137AA">
        <w:rPr>
          <w:rFonts w:ascii="Trebuchet MS" w:hAnsi="Trebuchet MS"/>
          <w:b/>
        </w:rPr>
        <w:t>Open letter re:</w:t>
      </w:r>
      <w:r w:rsidR="00784691" w:rsidRPr="002137AA">
        <w:rPr>
          <w:rFonts w:ascii="Trebuchet MS" w:hAnsi="Trebuchet MS"/>
          <w:b/>
        </w:rPr>
        <w:t xml:space="preserve"> Injection-free </w:t>
      </w:r>
      <w:r w:rsidR="001778E7" w:rsidRPr="002137AA">
        <w:rPr>
          <w:rFonts w:ascii="Trebuchet MS" w:hAnsi="Trebuchet MS"/>
          <w:b/>
        </w:rPr>
        <w:t xml:space="preserve">drug-resistant </w:t>
      </w:r>
      <w:r w:rsidR="00784691" w:rsidRPr="002137AA">
        <w:rPr>
          <w:rFonts w:ascii="Trebuchet MS" w:hAnsi="Trebuchet MS"/>
          <w:b/>
        </w:rPr>
        <w:t>TB treatment</w:t>
      </w:r>
      <w:r w:rsidRPr="002137AA">
        <w:rPr>
          <w:rFonts w:ascii="Trebuchet MS" w:hAnsi="Trebuchet MS"/>
          <w:b/>
        </w:rPr>
        <w:t xml:space="preserve"> with bedaquiline </w:t>
      </w:r>
    </w:p>
    <w:p w14:paraId="2E2E5E4E" w14:textId="77777777" w:rsidR="007C1E43" w:rsidRPr="007C1E43" w:rsidRDefault="007C1E43" w:rsidP="00F30B6D">
      <w:pPr>
        <w:spacing w:after="0" w:line="240" w:lineRule="auto"/>
        <w:rPr>
          <w:rFonts w:ascii="Trebuchet MS" w:hAnsi="Trebuchet MS"/>
        </w:rPr>
      </w:pPr>
    </w:p>
    <w:p w14:paraId="5B1ABFDA" w14:textId="0486D234" w:rsidR="00784691" w:rsidRDefault="00784691" w:rsidP="00F30B6D">
      <w:pPr>
        <w:spacing w:after="0" w:line="240" w:lineRule="auto"/>
        <w:rPr>
          <w:rFonts w:ascii="Trebuchet MS" w:hAnsi="Trebuchet MS"/>
          <w:color w:val="ED7D31" w:themeColor="accent2"/>
          <w:lang w:val="en-US"/>
        </w:rPr>
      </w:pPr>
      <w:r w:rsidRPr="007C1E43">
        <w:rPr>
          <w:rFonts w:ascii="Trebuchet MS" w:hAnsi="Trebuchet MS"/>
        </w:rPr>
        <w:t xml:space="preserve">Dear </w:t>
      </w:r>
      <w:r w:rsidR="00432FFD" w:rsidRPr="007C1E43">
        <w:rPr>
          <w:rFonts w:ascii="Trebuchet MS" w:hAnsi="Trebuchet MS"/>
        </w:rPr>
        <w:t>Hon. Minister</w:t>
      </w:r>
      <w:r w:rsidR="00273840" w:rsidRPr="007C1E43">
        <w:rPr>
          <w:rFonts w:ascii="Trebuchet MS" w:hAnsi="Trebuchet MS"/>
        </w:rPr>
        <w:t xml:space="preserve"> </w:t>
      </w:r>
      <w:r w:rsidR="00870AE0" w:rsidRPr="007C1E43">
        <w:rPr>
          <w:rFonts w:ascii="Trebuchet MS" w:hAnsi="Trebuchet MS"/>
          <w:color w:val="ED7D31" w:themeColor="accent2"/>
          <w:lang w:val="en-US"/>
        </w:rPr>
        <w:t>(Name)</w:t>
      </w:r>
      <w:r w:rsidR="00F01ADF">
        <w:rPr>
          <w:rFonts w:ascii="Trebuchet MS" w:hAnsi="Trebuchet MS"/>
          <w:color w:val="ED7D31" w:themeColor="accent2"/>
          <w:lang w:val="en-US"/>
        </w:rPr>
        <w:t xml:space="preserve">, </w:t>
      </w:r>
    </w:p>
    <w:p w14:paraId="054A0AA3" w14:textId="77777777" w:rsidR="00F01ADF" w:rsidRDefault="00F01ADF" w:rsidP="00F30B6D">
      <w:pPr>
        <w:spacing w:after="0" w:line="240" w:lineRule="auto"/>
        <w:rPr>
          <w:rFonts w:ascii="Trebuchet MS" w:hAnsi="Trebuchet MS"/>
          <w:lang w:val="en-US"/>
        </w:rPr>
      </w:pPr>
    </w:p>
    <w:p w14:paraId="5ACCC0D9" w14:textId="497840B7" w:rsidR="00F01ADF" w:rsidRPr="00F01ADF" w:rsidRDefault="00F01ADF" w:rsidP="00F01ADF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As</w:t>
      </w:r>
      <w:r w:rsidRPr="00F01ADF">
        <w:rPr>
          <w:rFonts w:ascii="Trebuchet MS" w:hAnsi="Trebuchet MS"/>
          <w:lang w:val="en-US"/>
        </w:rPr>
        <w:t xml:space="preserve"> civil society organizations, community groups, TB survivors, </w:t>
      </w:r>
      <w:r w:rsidR="0032433B">
        <w:rPr>
          <w:rFonts w:ascii="Trebuchet MS" w:hAnsi="Trebuchet MS"/>
          <w:lang w:val="en-US"/>
        </w:rPr>
        <w:t xml:space="preserve">researchers, </w:t>
      </w:r>
      <w:r w:rsidRPr="00F01ADF">
        <w:rPr>
          <w:rFonts w:ascii="Trebuchet MS" w:hAnsi="Trebuchet MS"/>
          <w:lang w:val="en-US"/>
        </w:rPr>
        <w:t xml:space="preserve">clinicians, and other partners committed to ending the tuberculosis (TB) epidemic in </w:t>
      </w:r>
      <w:r w:rsidRPr="007C1E43">
        <w:rPr>
          <w:rFonts w:ascii="Trebuchet MS" w:hAnsi="Trebuchet MS"/>
          <w:color w:val="ED7D31" w:themeColor="accent2"/>
          <w:lang w:val="en-US"/>
        </w:rPr>
        <w:t>(Your Country)</w:t>
      </w:r>
      <w:r>
        <w:rPr>
          <w:rFonts w:ascii="Trebuchet MS" w:hAnsi="Trebuchet MS"/>
        </w:rPr>
        <w:t>, we</w:t>
      </w:r>
      <w:r w:rsidRPr="007C1E43">
        <w:rPr>
          <w:rFonts w:ascii="Trebuchet MS" w:hAnsi="Trebuchet MS"/>
        </w:rPr>
        <w:t xml:space="preserve"> commend </w:t>
      </w:r>
      <w:r>
        <w:rPr>
          <w:rFonts w:ascii="Trebuchet MS" w:hAnsi="Trebuchet MS"/>
        </w:rPr>
        <w:t>you</w:t>
      </w:r>
      <w:r w:rsidRPr="007C1E43">
        <w:rPr>
          <w:rFonts w:ascii="Trebuchet MS" w:hAnsi="Trebuchet MS"/>
          <w:lang w:val="en-US"/>
        </w:rPr>
        <w:t xml:space="preserve"> </w:t>
      </w:r>
      <w:r w:rsidRPr="007C1E43">
        <w:rPr>
          <w:rFonts w:ascii="Trebuchet MS" w:hAnsi="Trebuchet MS"/>
        </w:rPr>
        <w:t>for the recent</w:t>
      </w:r>
      <w:r>
        <w:rPr>
          <w:rFonts w:ascii="Trebuchet MS" w:hAnsi="Trebuchet MS"/>
        </w:rPr>
        <w:t xml:space="preserve"> advances in addressing t</w:t>
      </w:r>
      <w:r w:rsidRPr="007C1E43">
        <w:rPr>
          <w:rFonts w:ascii="Trebuchet MS" w:hAnsi="Trebuchet MS"/>
        </w:rPr>
        <w:t>uberculosis</w:t>
      </w:r>
      <w:r>
        <w:rPr>
          <w:rFonts w:ascii="Trebuchet MS" w:hAnsi="Trebuchet MS"/>
        </w:rPr>
        <w:t xml:space="preserve"> (TB)</w:t>
      </w:r>
      <w:r w:rsidRPr="007C1E43">
        <w:rPr>
          <w:rFonts w:ascii="Trebuchet MS" w:hAnsi="Trebuchet MS"/>
        </w:rPr>
        <w:t xml:space="preserve"> in </w:t>
      </w:r>
      <w:r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Pr="007C1E43">
        <w:rPr>
          <w:rFonts w:ascii="Trebuchet MS" w:hAnsi="Trebuchet MS"/>
        </w:rPr>
        <w:t xml:space="preserve"> and the bold steps taken so far to end TB.</w:t>
      </w:r>
      <w:r>
        <w:rPr>
          <w:rFonts w:ascii="Trebuchet MS" w:hAnsi="Trebuchet MS"/>
        </w:rPr>
        <w:t xml:space="preserve"> We write today to </w:t>
      </w:r>
      <w:r w:rsidRPr="00F01ADF">
        <w:rPr>
          <w:rFonts w:ascii="Trebuchet MS" w:hAnsi="Trebuchet MS"/>
          <w:lang w:val="en-US"/>
        </w:rPr>
        <w:t xml:space="preserve">urge you to move quickly to update guidelines, procurement, and training in </w:t>
      </w:r>
      <w:r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Pr="007C1E43">
        <w:rPr>
          <w:rFonts w:ascii="Trebuchet MS" w:hAnsi="Trebuchet MS"/>
        </w:rPr>
        <w:t xml:space="preserve"> </w:t>
      </w:r>
      <w:r w:rsidRPr="00F01ADF">
        <w:rPr>
          <w:rFonts w:ascii="Trebuchet MS" w:hAnsi="Trebuchet MS"/>
          <w:lang w:val="en-US"/>
        </w:rPr>
        <w:t>to make bedaquiline a core agent in the treatment for rifampicin-resistant TB</w:t>
      </w:r>
      <w:r w:rsidR="00A36F52">
        <w:rPr>
          <w:rFonts w:ascii="Trebuchet MS" w:hAnsi="Trebuchet MS"/>
          <w:lang w:val="en-US"/>
        </w:rPr>
        <w:t xml:space="preserve"> (RR-TB)</w:t>
      </w:r>
      <w:r w:rsidR="00861D64">
        <w:rPr>
          <w:rFonts w:ascii="Trebuchet MS" w:hAnsi="Trebuchet MS"/>
          <w:lang w:val="en-US"/>
        </w:rPr>
        <w:t>, replacing injectable agents</w:t>
      </w:r>
      <w:r w:rsidR="006228A6">
        <w:rPr>
          <w:rFonts w:ascii="Trebuchet MS" w:hAnsi="Trebuchet MS"/>
          <w:lang w:val="en-US"/>
        </w:rPr>
        <w:t>. Our request follows</w:t>
      </w:r>
      <w:r w:rsidRPr="00F01ADF">
        <w:rPr>
          <w:rFonts w:ascii="Trebuchet MS" w:hAnsi="Trebuchet MS"/>
          <w:lang w:val="en-US"/>
        </w:rPr>
        <w:t xml:space="preserve"> recently updated World Heal</w:t>
      </w:r>
      <w:r w:rsidR="00861D64">
        <w:rPr>
          <w:rFonts w:ascii="Trebuchet MS" w:hAnsi="Trebuchet MS"/>
          <w:lang w:val="en-US"/>
        </w:rPr>
        <w:t xml:space="preserve">th Organization </w:t>
      </w:r>
      <w:r w:rsidR="00391D07">
        <w:rPr>
          <w:rFonts w:ascii="Trebuchet MS" w:hAnsi="Trebuchet MS"/>
          <w:lang w:val="en-US"/>
        </w:rPr>
        <w:t xml:space="preserve">(WHO) </w:t>
      </w:r>
      <w:r w:rsidR="00861D64">
        <w:rPr>
          <w:rFonts w:ascii="Trebuchet MS" w:hAnsi="Trebuchet MS"/>
          <w:lang w:val="en-US"/>
        </w:rPr>
        <w:t>recommendations</w:t>
      </w:r>
      <w:r w:rsidR="006228A6">
        <w:rPr>
          <w:rFonts w:ascii="Trebuchet MS" w:hAnsi="Trebuchet MS"/>
          <w:lang w:val="en-US"/>
        </w:rPr>
        <w:t xml:space="preserve">, </w:t>
      </w:r>
      <w:r w:rsidRPr="00F01ADF">
        <w:rPr>
          <w:rFonts w:ascii="Trebuchet MS" w:hAnsi="Trebuchet MS"/>
          <w:lang w:val="en-US"/>
        </w:rPr>
        <w:t>and a wealth of evidence on the benefit of the drug bedaquiline</w:t>
      </w:r>
      <w:r w:rsidR="006228A6">
        <w:rPr>
          <w:rFonts w:ascii="Trebuchet MS" w:hAnsi="Trebuchet MS"/>
          <w:lang w:val="en-US"/>
        </w:rPr>
        <w:t xml:space="preserve"> </w:t>
      </w:r>
      <w:r w:rsidR="00B3269C">
        <w:rPr>
          <w:rFonts w:ascii="Trebuchet MS" w:hAnsi="Trebuchet MS"/>
          <w:lang w:val="en-US"/>
        </w:rPr>
        <w:t>versus</w:t>
      </w:r>
      <w:r w:rsidR="0069226D">
        <w:rPr>
          <w:rFonts w:ascii="Trebuchet MS" w:hAnsi="Trebuchet MS"/>
          <w:lang w:val="en-US"/>
        </w:rPr>
        <w:t xml:space="preserve"> </w:t>
      </w:r>
      <w:r w:rsidR="006228A6">
        <w:rPr>
          <w:rFonts w:ascii="Trebuchet MS" w:hAnsi="Trebuchet MS"/>
          <w:lang w:val="en-US"/>
        </w:rPr>
        <w:t>the harmful effects of the injectable agents</w:t>
      </w:r>
      <w:r w:rsidRPr="00F01ADF">
        <w:rPr>
          <w:rFonts w:ascii="Trebuchet MS" w:hAnsi="Trebuchet MS"/>
          <w:lang w:val="en-US"/>
        </w:rPr>
        <w:t xml:space="preserve">.  </w:t>
      </w:r>
    </w:p>
    <w:p w14:paraId="76BB7642" w14:textId="77777777" w:rsidR="00861D64" w:rsidRDefault="00861D64" w:rsidP="00F30B6D">
      <w:pPr>
        <w:spacing w:after="0" w:line="240" w:lineRule="auto"/>
        <w:rPr>
          <w:rFonts w:ascii="Trebuchet MS" w:hAnsi="Trebuchet MS"/>
        </w:rPr>
      </w:pPr>
    </w:p>
    <w:p w14:paraId="3E044FC3" w14:textId="11B10B49" w:rsidR="009E5757" w:rsidRPr="008E0BA3" w:rsidRDefault="00790955" w:rsidP="008E0BA3">
      <w:pPr>
        <w:spacing w:after="0" w:line="240" w:lineRule="auto"/>
        <w:rPr>
          <w:rFonts w:ascii="Trebuchet MS" w:hAnsi="Trebuchet MS"/>
          <w:lang w:val="en-US"/>
        </w:rPr>
      </w:pPr>
      <w:commentRangeStart w:id="0"/>
      <w:r>
        <w:rPr>
          <w:rFonts w:ascii="Trebuchet MS" w:hAnsi="Trebuchet MS"/>
        </w:rPr>
        <w:t>TB</w:t>
      </w:r>
      <w:r w:rsidR="000C4552" w:rsidRPr="007C1E43">
        <w:rPr>
          <w:rFonts w:ascii="Trebuchet MS" w:hAnsi="Trebuchet MS"/>
        </w:rPr>
        <w:t xml:space="preserve"> continues to be </w:t>
      </w:r>
      <w:r w:rsidR="00635059" w:rsidRPr="007C1E43">
        <w:rPr>
          <w:rFonts w:ascii="Trebuchet MS" w:hAnsi="Trebuchet MS"/>
        </w:rPr>
        <w:t>a major health emergency</w:t>
      </w:r>
      <w:r w:rsidR="00E11725" w:rsidRPr="007C1E43">
        <w:rPr>
          <w:rFonts w:ascii="Trebuchet MS" w:hAnsi="Trebuchet MS"/>
        </w:rPr>
        <w:t xml:space="preserve"> in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="009E5757">
        <w:rPr>
          <w:rFonts w:ascii="Trebuchet MS" w:hAnsi="Trebuchet MS"/>
          <w:lang w:val="en-US"/>
        </w:rPr>
        <w:t>. O</w:t>
      </w:r>
      <w:r w:rsidR="00635059" w:rsidRPr="007C1E43">
        <w:rPr>
          <w:rFonts w:ascii="Trebuchet MS" w:hAnsi="Trebuchet MS"/>
          <w:lang w:val="en-US"/>
        </w:rPr>
        <w:t xml:space="preserve">ur country had an estimated </w:t>
      </w:r>
      <w:r w:rsidR="00DD073A" w:rsidRPr="007C1E43">
        <w:rPr>
          <w:rFonts w:ascii="Trebuchet MS" w:hAnsi="Trebuchet MS"/>
          <w:b/>
          <w:color w:val="ED7D31" w:themeColor="accent2"/>
          <w:lang w:val="en-US"/>
        </w:rPr>
        <w:t>(your country data)</w:t>
      </w:r>
      <w:r w:rsidR="00DD073A" w:rsidRPr="007C1E43">
        <w:rPr>
          <w:rFonts w:ascii="Trebuchet MS" w:hAnsi="Trebuchet MS"/>
          <w:lang w:val="en-US"/>
        </w:rPr>
        <w:t xml:space="preserve"> </w:t>
      </w:r>
      <w:r w:rsidR="00635059" w:rsidRPr="007C1E43">
        <w:rPr>
          <w:rFonts w:ascii="Trebuchet MS" w:hAnsi="Trebuchet MS"/>
          <w:lang w:val="en-US"/>
        </w:rPr>
        <w:t xml:space="preserve">people </w:t>
      </w:r>
      <w:r w:rsidR="00CC0846" w:rsidRPr="007C1E43">
        <w:rPr>
          <w:rFonts w:ascii="Trebuchet MS" w:hAnsi="Trebuchet MS"/>
          <w:lang w:val="en-US"/>
        </w:rPr>
        <w:t>f</w:t>
      </w:r>
      <w:r w:rsidR="00A53BD2" w:rsidRPr="007C1E43">
        <w:rPr>
          <w:rFonts w:ascii="Trebuchet MS" w:hAnsi="Trebuchet MS"/>
          <w:lang w:val="en-US"/>
        </w:rPr>
        <w:t>a</w:t>
      </w:r>
      <w:r w:rsidR="00CC0846" w:rsidRPr="007C1E43">
        <w:rPr>
          <w:rFonts w:ascii="Trebuchet MS" w:hAnsi="Trebuchet MS"/>
          <w:lang w:val="en-US"/>
        </w:rPr>
        <w:t xml:space="preserve">ll ill </w:t>
      </w:r>
      <w:r w:rsidR="00635059" w:rsidRPr="007C1E43">
        <w:rPr>
          <w:rFonts w:ascii="Trebuchet MS" w:hAnsi="Trebuchet MS"/>
          <w:lang w:val="en-US"/>
        </w:rPr>
        <w:t>with TB in 2016</w:t>
      </w:r>
      <w:r w:rsidR="00E11725" w:rsidRPr="007C1E43">
        <w:rPr>
          <w:rFonts w:ascii="Trebuchet MS" w:hAnsi="Trebuchet MS"/>
          <w:lang w:val="en-US"/>
        </w:rPr>
        <w:t xml:space="preserve">, with </w:t>
      </w:r>
      <w:r w:rsidR="00DD073A" w:rsidRPr="007C1E43">
        <w:rPr>
          <w:rFonts w:ascii="Trebuchet MS" w:hAnsi="Trebuchet MS"/>
          <w:b/>
          <w:color w:val="ED7D31" w:themeColor="accent2"/>
          <w:lang w:val="en-US"/>
        </w:rPr>
        <w:t>(your country data)</w:t>
      </w:r>
      <w:r w:rsidR="00DD073A" w:rsidRPr="007C1E43">
        <w:rPr>
          <w:rFonts w:ascii="Trebuchet MS" w:hAnsi="Trebuchet MS"/>
          <w:lang w:val="en-US"/>
        </w:rPr>
        <w:t xml:space="preserve"> </w:t>
      </w:r>
      <w:r w:rsidR="006350C5" w:rsidRPr="007C1E43">
        <w:rPr>
          <w:rFonts w:ascii="Trebuchet MS" w:hAnsi="Trebuchet MS"/>
          <w:lang w:val="en-US"/>
        </w:rPr>
        <w:t xml:space="preserve">new </w:t>
      </w:r>
      <w:r w:rsidR="00A53BD2" w:rsidRPr="007C1E43">
        <w:rPr>
          <w:rFonts w:ascii="Trebuchet MS" w:hAnsi="Trebuchet MS"/>
          <w:lang w:val="en-US"/>
        </w:rPr>
        <w:t>cases of</w:t>
      </w:r>
      <w:r w:rsidR="00635059" w:rsidRPr="007C1E43">
        <w:rPr>
          <w:rFonts w:ascii="Trebuchet MS" w:hAnsi="Trebuchet MS"/>
          <w:lang w:val="en-US"/>
        </w:rPr>
        <w:t xml:space="preserve"> </w:t>
      </w:r>
      <w:r w:rsidR="00855A59" w:rsidRPr="008E0BA3">
        <w:rPr>
          <w:rFonts w:ascii="Trebuchet MS" w:hAnsi="Trebuchet MS"/>
          <w:lang w:val="en-US"/>
        </w:rPr>
        <w:t>RR-</w:t>
      </w:r>
      <w:r w:rsidR="00F0443D" w:rsidRPr="008E0BA3">
        <w:rPr>
          <w:rFonts w:ascii="Trebuchet MS" w:hAnsi="Trebuchet MS"/>
          <w:lang w:val="en-US"/>
        </w:rPr>
        <w:t>TB</w:t>
      </w:r>
      <w:r w:rsidR="00755B6D">
        <w:rPr>
          <w:rFonts w:ascii="Trebuchet MS" w:hAnsi="Trebuchet MS"/>
          <w:lang w:val="en-US"/>
        </w:rPr>
        <w:t>.</w:t>
      </w:r>
      <w:r w:rsidR="00755B6D">
        <w:rPr>
          <w:rStyle w:val="FootnoteReference"/>
          <w:rFonts w:ascii="Trebuchet MS" w:hAnsi="Trebuchet MS"/>
          <w:lang w:val="en-US"/>
        </w:rPr>
        <w:footnoteReference w:id="1"/>
      </w:r>
      <w:r w:rsidR="00D97DCA" w:rsidRPr="008E0BA3">
        <w:rPr>
          <w:rFonts w:ascii="Trebuchet MS" w:hAnsi="Trebuchet MS"/>
        </w:rPr>
        <w:t xml:space="preserve"> </w:t>
      </w:r>
      <w:commentRangeEnd w:id="0"/>
      <w:r w:rsidR="006637BD" w:rsidRPr="008E0BA3">
        <w:rPr>
          <w:rStyle w:val="CommentReference"/>
          <w:rFonts w:ascii="Trebuchet MS" w:hAnsi="Trebuchet MS"/>
          <w:sz w:val="22"/>
          <w:szCs w:val="22"/>
        </w:rPr>
        <w:commentReference w:id="0"/>
      </w:r>
      <w:r w:rsidR="00E060E8" w:rsidRPr="008E0BA3">
        <w:rPr>
          <w:rFonts w:ascii="Trebuchet MS" w:hAnsi="Trebuchet MS" w:cs="Calibri"/>
        </w:rPr>
        <w:t xml:space="preserve"> Of note, </w:t>
      </w:r>
      <w:commentRangeStart w:id="1"/>
      <w:r w:rsidR="00E060E8" w:rsidRPr="008E0BA3">
        <w:rPr>
          <w:rFonts w:ascii="Trebuchet MS" w:hAnsi="Trebuchet MS" w:cs="Calibri"/>
        </w:rPr>
        <w:t xml:space="preserve">only </w:t>
      </w:r>
      <w:r w:rsidR="00E060E8" w:rsidRPr="008E0BA3">
        <w:rPr>
          <w:rFonts w:ascii="Trebuchet MS" w:hAnsi="Trebuchet MS"/>
          <w:color w:val="ED7D31" w:themeColor="accent2"/>
          <w:lang w:val="en-US"/>
        </w:rPr>
        <w:t>(Number)</w:t>
      </w:r>
      <w:r w:rsidR="008E0BA3" w:rsidRPr="008E0BA3">
        <w:rPr>
          <w:rFonts w:ascii="Trebuchet MS" w:hAnsi="Trebuchet MS"/>
          <w:lang w:val="en-US"/>
        </w:rPr>
        <w:t xml:space="preserve"> </w:t>
      </w:r>
      <w:r w:rsidR="00E060E8" w:rsidRPr="008E0BA3">
        <w:rPr>
          <w:rFonts w:ascii="Trebuchet MS" w:hAnsi="Trebuchet MS" w:cs="Calibri"/>
        </w:rPr>
        <w:t xml:space="preserve">persons in </w:t>
      </w:r>
      <w:r w:rsidR="00E060E8" w:rsidRPr="008E0BA3">
        <w:rPr>
          <w:rFonts w:ascii="Trebuchet MS" w:hAnsi="Trebuchet MS"/>
          <w:color w:val="ED7D31" w:themeColor="accent2"/>
          <w:lang w:val="en-US"/>
        </w:rPr>
        <w:t>(Your Country)</w:t>
      </w:r>
      <w:r w:rsidR="00E060E8" w:rsidRPr="008E0BA3">
        <w:rPr>
          <w:rFonts w:ascii="Trebuchet MS" w:hAnsi="Trebuchet MS"/>
          <w:lang w:val="en-US"/>
        </w:rPr>
        <w:t xml:space="preserve"> </w:t>
      </w:r>
      <w:r w:rsidR="00E060E8" w:rsidRPr="008E0BA3">
        <w:rPr>
          <w:rFonts w:ascii="Trebuchet MS" w:hAnsi="Trebuchet MS" w:cs="Calibri"/>
        </w:rPr>
        <w:t>have been offered treatment with bedaquiline</w:t>
      </w:r>
      <w:r w:rsidR="008E0BA3" w:rsidRPr="008E0BA3">
        <w:rPr>
          <w:rFonts w:ascii="Trebuchet MS" w:hAnsi="Trebuchet MS" w:cs="Calibri"/>
        </w:rPr>
        <w:t>.</w:t>
      </w:r>
      <w:commentRangeEnd w:id="1"/>
      <w:r w:rsidR="008E0BA3" w:rsidRPr="008E0BA3">
        <w:rPr>
          <w:rStyle w:val="CommentReference"/>
          <w:rFonts w:ascii="Trebuchet MS" w:hAnsi="Trebuchet MS"/>
          <w:sz w:val="22"/>
          <w:szCs w:val="22"/>
        </w:rPr>
        <w:commentReference w:id="1"/>
      </w:r>
      <w:r w:rsidR="008E0BA3" w:rsidRPr="008E0BA3">
        <w:rPr>
          <w:rFonts w:ascii="Trebuchet MS" w:hAnsi="Trebuchet MS"/>
          <w:lang w:val="en-US"/>
        </w:rPr>
        <w:t xml:space="preserve"> </w:t>
      </w:r>
      <w:r w:rsidR="00635059" w:rsidRPr="008E0BA3">
        <w:rPr>
          <w:rFonts w:ascii="Trebuchet MS" w:hAnsi="Trebuchet MS"/>
        </w:rPr>
        <w:t xml:space="preserve">One of the biggest challenges with TB is diagnosis of people affected by TB and ensuring that they are put on the right treatment. </w:t>
      </w:r>
      <w:r w:rsidR="00D97DCA" w:rsidRPr="008E0BA3">
        <w:rPr>
          <w:rFonts w:ascii="Trebuchet MS" w:hAnsi="Trebuchet MS"/>
        </w:rPr>
        <w:t xml:space="preserve">According to the Global TB </w:t>
      </w:r>
      <w:r w:rsidR="00E11725" w:rsidRPr="008E0BA3">
        <w:rPr>
          <w:rFonts w:ascii="Trebuchet MS" w:hAnsi="Trebuchet MS"/>
        </w:rPr>
        <w:t>R</w:t>
      </w:r>
      <w:r w:rsidR="00D97DCA" w:rsidRPr="008E0BA3">
        <w:rPr>
          <w:rFonts w:ascii="Trebuchet MS" w:hAnsi="Trebuchet MS"/>
        </w:rPr>
        <w:t>eport</w:t>
      </w:r>
      <w:r w:rsidR="00E11725" w:rsidRPr="008E0BA3">
        <w:rPr>
          <w:rFonts w:ascii="Trebuchet MS" w:hAnsi="Trebuchet MS"/>
        </w:rPr>
        <w:t xml:space="preserve"> 2017</w:t>
      </w:r>
      <w:r w:rsidR="00D97DCA" w:rsidRPr="008E0BA3">
        <w:rPr>
          <w:rFonts w:ascii="Trebuchet MS" w:hAnsi="Trebuchet MS"/>
        </w:rPr>
        <w:t xml:space="preserve">, only </w:t>
      </w:r>
      <w:commentRangeStart w:id="2"/>
      <w:r w:rsidR="00D97DCA" w:rsidRPr="008E0BA3">
        <w:rPr>
          <w:rFonts w:ascii="Trebuchet MS" w:hAnsi="Trebuchet MS"/>
        </w:rPr>
        <w:t xml:space="preserve">one in five </w:t>
      </w:r>
      <w:r w:rsidR="00432FFD" w:rsidRPr="008E0BA3">
        <w:rPr>
          <w:rFonts w:ascii="Trebuchet MS" w:hAnsi="Trebuchet MS"/>
        </w:rPr>
        <w:t xml:space="preserve">persons with </w:t>
      </w:r>
      <w:r w:rsidR="00A36F52" w:rsidRPr="008E0BA3">
        <w:rPr>
          <w:rFonts w:ascii="Trebuchet MS" w:hAnsi="Trebuchet MS"/>
        </w:rPr>
        <w:t>R</w:t>
      </w:r>
      <w:r w:rsidR="00D97DCA" w:rsidRPr="008E0BA3">
        <w:rPr>
          <w:rFonts w:ascii="Trebuchet MS" w:hAnsi="Trebuchet MS"/>
        </w:rPr>
        <w:t xml:space="preserve">R-TB was started on treatment. </w:t>
      </w:r>
      <w:r w:rsidR="00432FFD" w:rsidRPr="008E0BA3">
        <w:rPr>
          <w:rFonts w:ascii="Trebuchet MS" w:hAnsi="Trebuchet MS"/>
        </w:rPr>
        <w:t>T</w:t>
      </w:r>
      <w:r w:rsidR="00D97DCA" w:rsidRPr="008E0BA3">
        <w:rPr>
          <w:rFonts w:ascii="Trebuchet MS" w:hAnsi="Trebuchet MS"/>
        </w:rPr>
        <w:t>reatment success remains low at</w:t>
      </w:r>
      <w:r w:rsidR="00E11725" w:rsidRPr="008E0BA3">
        <w:rPr>
          <w:rFonts w:ascii="Trebuchet MS" w:hAnsi="Trebuchet MS"/>
        </w:rPr>
        <w:t xml:space="preserve"> a bleak</w:t>
      </w:r>
      <w:r w:rsidR="00D97DCA" w:rsidRPr="008E0BA3">
        <w:rPr>
          <w:rFonts w:ascii="Trebuchet MS" w:hAnsi="Trebuchet MS"/>
        </w:rPr>
        <w:t xml:space="preserve"> 54% globally</w:t>
      </w:r>
      <w:r w:rsidR="009C5B7E" w:rsidRPr="008E0BA3">
        <w:rPr>
          <w:rFonts w:ascii="Trebuchet MS" w:hAnsi="Trebuchet MS"/>
        </w:rPr>
        <w:t>.</w:t>
      </w:r>
      <w:commentRangeEnd w:id="2"/>
      <w:r w:rsidR="003C790E" w:rsidRPr="008E0BA3">
        <w:rPr>
          <w:rStyle w:val="CommentReference"/>
          <w:rFonts w:ascii="Trebuchet MS" w:hAnsi="Trebuchet MS"/>
          <w:sz w:val="22"/>
          <w:szCs w:val="22"/>
        </w:rPr>
        <w:commentReference w:id="2"/>
      </w:r>
      <w:r w:rsidR="009E5757" w:rsidRPr="00937A77">
        <w:rPr>
          <w:rFonts w:ascii="Calibri" w:hAnsi="Calibri" w:cs="Calibri"/>
        </w:rPr>
        <w:t xml:space="preserve"> </w:t>
      </w:r>
    </w:p>
    <w:p w14:paraId="6307D1B1" w14:textId="77777777" w:rsidR="009E5757" w:rsidRDefault="009E5757" w:rsidP="00F30B6D">
      <w:pPr>
        <w:spacing w:after="0" w:line="240" w:lineRule="auto"/>
        <w:rPr>
          <w:rFonts w:ascii="Trebuchet MS" w:hAnsi="Trebuchet MS"/>
          <w:lang w:val="en-GB"/>
        </w:rPr>
      </w:pPr>
    </w:p>
    <w:p w14:paraId="44EAA527" w14:textId="4834DB71" w:rsidR="00E02CBD" w:rsidRDefault="00E02CBD" w:rsidP="00F30B6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en-GB"/>
        </w:rPr>
        <w:t xml:space="preserve">In July 2018, South Africa </w:t>
      </w:r>
      <w:r w:rsidR="009A737C">
        <w:rPr>
          <w:rFonts w:ascii="Trebuchet MS" w:hAnsi="Trebuchet MS"/>
          <w:lang w:val="en-GB"/>
        </w:rPr>
        <w:t>took a major step towards impr</w:t>
      </w:r>
      <w:r w:rsidR="00CA0C9E">
        <w:rPr>
          <w:rFonts w:ascii="Trebuchet MS" w:hAnsi="Trebuchet MS"/>
          <w:lang w:val="en-GB"/>
        </w:rPr>
        <w:t>oving cure rates and the quality</w:t>
      </w:r>
      <w:r w:rsidR="009A737C">
        <w:rPr>
          <w:rFonts w:ascii="Trebuchet MS" w:hAnsi="Trebuchet MS"/>
          <w:lang w:val="en-GB"/>
        </w:rPr>
        <w:t xml:space="preserve"> of life of people with </w:t>
      </w:r>
      <w:r w:rsidR="0055668C">
        <w:rPr>
          <w:rFonts w:ascii="Trebuchet MS" w:hAnsi="Trebuchet MS"/>
          <w:lang w:val="en-GB"/>
        </w:rPr>
        <w:t>R</w:t>
      </w:r>
      <w:r w:rsidR="009A737C">
        <w:rPr>
          <w:rFonts w:ascii="Trebuchet MS" w:hAnsi="Trebuchet MS"/>
          <w:lang w:val="en-GB"/>
        </w:rPr>
        <w:t xml:space="preserve">R-TB when it </w:t>
      </w:r>
      <w:r w:rsidR="002B6624" w:rsidRPr="007C1E43">
        <w:rPr>
          <w:rFonts w:ascii="Trebuchet MS" w:hAnsi="Trebuchet MS"/>
        </w:rPr>
        <w:t>recommend</w:t>
      </w:r>
      <w:r w:rsidR="0055668C">
        <w:rPr>
          <w:rFonts w:ascii="Trebuchet MS" w:hAnsi="Trebuchet MS"/>
        </w:rPr>
        <w:t>ed</w:t>
      </w:r>
      <w:r w:rsidR="002B6624" w:rsidRPr="007C1E43">
        <w:rPr>
          <w:rFonts w:ascii="Trebuchet MS" w:hAnsi="Trebuchet MS"/>
        </w:rPr>
        <w:t xml:space="preserve"> an injection-free, bedaquiline-based regimen for ALL patients with </w:t>
      </w:r>
      <w:r w:rsidR="007F4D90">
        <w:rPr>
          <w:rFonts w:ascii="Trebuchet MS" w:hAnsi="Trebuchet MS"/>
        </w:rPr>
        <w:t>RR-TB. This decision</w:t>
      </w:r>
      <w:r w:rsidR="00A95796">
        <w:rPr>
          <w:rFonts w:ascii="Trebuchet MS" w:hAnsi="Trebuchet MS"/>
        </w:rPr>
        <w:t xml:space="preserve"> </w:t>
      </w:r>
      <w:r w:rsidR="005144C9">
        <w:rPr>
          <w:rFonts w:ascii="Trebuchet MS" w:hAnsi="Trebuchet MS"/>
        </w:rPr>
        <w:t xml:space="preserve">was </w:t>
      </w:r>
      <w:r>
        <w:rPr>
          <w:rFonts w:ascii="Trebuchet MS" w:hAnsi="Trebuchet MS"/>
        </w:rPr>
        <w:t xml:space="preserve">based on their </w:t>
      </w:r>
      <w:r w:rsidR="005144C9">
        <w:rPr>
          <w:rFonts w:ascii="Trebuchet MS" w:hAnsi="Trebuchet MS"/>
        </w:rPr>
        <w:t>experience</w:t>
      </w:r>
      <w:r>
        <w:rPr>
          <w:rFonts w:ascii="Trebuchet MS" w:hAnsi="Trebuchet MS"/>
        </w:rPr>
        <w:t xml:space="preserve"> offering bedaquiline to </w:t>
      </w:r>
      <w:r w:rsidRPr="00E02CBD">
        <w:rPr>
          <w:rFonts w:ascii="Trebuchet MS" w:hAnsi="Trebuchet MS"/>
        </w:rPr>
        <w:t>more than 11,000 people</w:t>
      </w:r>
      <w:r>
        <w:rPr>
          <w:rFonts w:ascii="Trebuchet MS" w:hAnsi="Trebuchet MS"/>
        </w:rPr>
        <w:t xml:space="preserve"> with MDR-TB</w:t>
      </w:r>
      <w:r w:rsidR="005144C9">
        <w:rPr>
          <w:rFonts w:ascii="Trebuchet MS" w:hAnsi="Trebuchet MS"/>
        </w:rPr>
        <w:t>,</w:t>
      </w:r>
      <w:r w:rsidR="00A95796">
        <w:rPr>
          <w:rFonts w:ascii="Trebuchet MS" w:hAnsi="Trebuchet MS"/>
        </w:rPr>
        <w:t xml:space="preserve"> which showed that using </w:t>
      </w:r>
      <w:r w:rsidR="00A95796" w:rsidRPr="00A95796">
        <w:rPr>
          <w:rFonts w:ascii="Trebuchet MS" w:hAnsi="Trebuchet MS"/>
        </w:rPr>
        <w:t xml:space="preserve">bedaquiline </w:t>
      </w:r>
      <w:r w:rsidR="00264EC4">
        <w:rPr>
          <w:rFonts w:ascii="Trebuchet MS" w:hAnsi="Trebuchet MS"/>
        </w:rPr>
        <w:t>was associated with a 41% increase in treatment success and a three-fold reduction in mortality</w:t>
      </w:r>
      <w:r w:rsidR="005144C9" w:rsidRPr="00A95796">
        <w:rPr>
          <w:rFonts w:ascii="Trebuchet MS" w:hAnsi="Trebuchet MS" w:cs="Calibri"/>
        </w:rPr>
        <w:t>,</w:t>
      </w:r>
      <w:r w:rsidR="005144C9" w:rsidRPr="00A95796">
        <w:rPr>
          <w:rStyle w:val="FootnoteReference"/>
          <w:rFonts w:ascii="Trebuchet MS" w:hAnsi="Trebuchet MS" w:cs="Calibri"/>
        </w:rPr>
        <w:footnoteReference w:id="2"/>
      </w:r>
      <w:r w:rsidR="005144C9" w:rsidRPr="00A95796">
        <w:rPr>
          <w:rFonts w:ascii="Trebuchet MS" w:hAnsi="Trebuchet MS" w:cs="Calibri"/>
        </w:rPr>
        <w:t xml:space="preserve"> results in cost savings for the health system,</w:t>
      </w:r>
      <w:r w:rsidR="005144C9" w:rsidRPr="00A95796">
        <w:rPr>
          <w:rStyle w:val="FootnoteReference"/>
          <w:rFonts w:ascii="Trebuchet MS" w:hAnsi="Trebuchet MS" w:cs="Calibri"/>
        </w:rPr>
        <w:footnoteReference w:id="3"/>
      </w:r>
      <w:r w:rsidR="005144C9" w:rsidRPr="00A95796">
        <w:rPr>
          <w:rFonts w:ascii="Trebuchet MS" w:hAnsi="Trebuchet MS" w:cs="Calibri"/>
        </w:rPr>
        <w:t xml:space="preserve"> and can be used to replace the dangerous injectable agents that are currently a core part of DR-TB treatment but </w:t>
      </w:r>
      <w:r w:rsidR="00E945EF">
        <w:rPr>
          <w:rFonts w:ascii="Trebuchet MS" w:hAnsi="Trebuchet MS" w:cs="Calibri"/>
        </w:rPr>
        <w:t xml:space="preserve">can </w:t>
      </w:r>
      <w:r w:rsidR="005144C9" w:rsidRPr="00A95796">
        <w:rPr>
          <w:rFonts w:ascii="Trebuchet MS" w:hAnsi="Trebuchet MS" w:cs="Calibri"/>
        </w:rPr>
        <w:t xml:space="preserve">result in serious adverse events in </w:t>
      </w:r>
      <w:r w:rsidR="00E945EF">
        <w:rPr>
          <w:rFonts w:ascii="Trebuchet MS" w:hAnsi="Trebuchet MS" w:cs="Calibri"/>
        </w:rPr>
        <w:t>over 60% of those</w:t>
      </w:r>
      <w:r w:rsidR="005144C9" w:rsidRPr="00A95796">
        <w:rPr>
          <w:rFonts w:ascii="Trebuchet MS" w:hAnsi="Trebuchet MS" w:cs="Calibri"/>
        </w:rPr>
        <w:t xml:space="preserve"> who receive them.</w:t>
      </w:r>
      <w:r w:rsidR="00984EF8">
        <w:rPr>
          <w:rStyle w:val="FootnoteReference"/>
          <w:rFonts w:ascii="Trebuchet MS" w:hAnsi="Trebuchet MS" w:cs="Calibri"/>
        </w:rPr>
        <w:footnoteReference w:id="4"/>
      </w:r>
      <w:r w:rsidR="005144C9">
        <w:rPr>
          <w:rFonts w:ascii="Trebuchet MS" w:hAnsi="Trebuchet MS"/>
        </w:rPr>
        <w:t xml:space="preserve"> </w:t>
      </w:r>
    </w:p>
    <w:p w14:paraId="2AA97164" w14:textId="77777777" w:rsidR="00E02CBD" w:rsidRDefault="00E02CBD" w:rsidP="00F30B6D">
      <w:pPr>
        <w:spacing w:after="0" w:line="240" w:lineRule="auto"/>
        <w:rPr>
          <w:rFonts w:ascii="Trebuchet MS" w:hAnsi="Trebuchet MS"/>
        </w:rPr>
      </w:pPr>
    </w:p>
    <w:p w14:paraId="1702E0DA" w14:textId="441E8372" w:rsidR="007C3060" w:rsidRPr="00961914" w:rsidRDefault="00C648A9" w:rsidP="004B5B61">
      <w:pPr>
        <w:spacing w:after="0" w:line="240" w:lineRule="auto"/>
      </w:pPr>
      <w:r>
        <w:rPr>
          <w:rFonts w:ascii="Trebuchet MS" w:hAnsi="Trebuchet MS"/>
        </w:rPr>
        <w:t>Shortly after</w:t>
      </w:r>
      <w:r w:rsidR="007C3060">
        <w:rPr>
          <w:rFonts w:ascii="Trebuchet MS" w:hAnsi="Trebuchet MS"/>
        </w:rPr>
        <w:t xml:space="preserve">, </w:t>
      </w:r>
      <w:r w:rsidR="00FA3BFB">
        <w:rPr>
          <w:rFonts w:ascii="Trebuchet MS" w:hAnsi="Trebuchet MS"/>
        </w:rPr>
        <w:t xml:space="preserve">a </w:t>
      </w:r>
      <w:r w:rsidR="00D21A6B">
        <w:rPr>
          <w:rFonts w:ascii="Trebuchet MS" w:hAnsi="Trebuchet MS"/>
        </w:rPr>
        <w:t>WHO</w:t>
      </w:r>
      <w:r w:rsidR="00FA3BFB">
        <w:rPr>
          <w:rFonts w:ascii="Trebuchet MS" w:hAnsi="Trebuchet MS"/>
        </w:rPr>
        <w:t xml:space="preserve"> guideline group</w:t>
      </w:r>
      <w:r>
        <w:rPr>
          <w:rFonts w:ascii="Trebuchet MS" w:hAnsi="Trebuchet MS"/>
        </w:rPr>
        <w:t xml:space="preserve"> reviewed a large body of evidence on</w:t>
      </w:r>
      <w:r w:rsidR="00037B0A">
        <w:rPr>
          <w:rFonts w:ascii="Trebuchet MS" w:hAnsi="Trebuchet MS"/>
        </w:rPr>
        <w:t xml:space="preserve"> the safety and efficacy of </w:t>
      </w:r>
      <w:r>
        <w:rPr>
          <w:rFonts w:ascii="Trebuchet MS" w:hAnsi="Trebuchet MS"/>
        </w:rPr>
        <w:t>RR-TB treatment</w:t>
      </w:r>
      <w:r w:rsidR="00DE50E4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, and </w:t>
      </w:r>
      <w:r w:rsidR="00D210EF">
        <w:rPr>
          <w:rFonts w:ascii="Trebuchet MS" w:hAnsi="Trebuchet MS"/>
        </w:rPr>
        <w:t>concluded</w:t>
      </w:r>
      <w:r>
        <w:rPr>
          <w:rFonts w:ascii="Trebuchet MS" w:hAnsi="Trebuchet MS"/>
        </w:rPr>
        <w:t xml:space="preserve"> that </w:t>
      </w:r>
      <w:r w:rsidR="00037B0A">
        <w:rPr>
          <w:rFonts w:ascii="Trebuchet MS" w:hAnsi="Trebuchet MS"/>
        </w:rPr>
        <w:t xml:space="preserve">the core RR-TB treatment regimen should rely on bedaquiline, </w:t>
      </w:r>
      <w:r w:rsidR="005F2987">
        <w:rPr>
          <w:rFonts w:ascii="Trebuchet MS" w:hAnsi="Trebuchet MS"/>
        </w:rPr>
        <w:t>plus levofloxacin/</w:t>
      </w:r>
      <w:r w:rsidR="00037B0A">
        <w:rPr>
          <w:rFonts w:ascii="Trebuchet MS" w:hAnsi="Trebuchet MS"/>
        </w:rPr>
        <w:t xml:space="preserve">moxifloxacin, and linezolid. </w:t>
      </w:r>
      <w:r w:rsidR="004B5B61">
        <w:rPr>
          <w:rFonts w:ascii="Trebuchet MS" w:hAnsi="Trebuchet MS"/>
        </w:rPr>
        <w:t>Capreomycin and kanamycin are no</w:t>
      </w:r>
      <w:r w:rsidR="00D210EF">
        <w:rPr>
          <w:rFonts w:ascii="Trebuchet MS" w:hAnsi="Trebuchet MS"/>
        </w:rPr>
        <w:t xml:space="preserve"> longer</w:t>
      </w:r>
      <w:r w:rsidR="004B5B61">
        <w:rPr>
          <w:rFonts w:ascii="Trebuchet MS" w:hAnsi="Trebuchet MS"/>
        </w:rPr>
        <w:t xml:space="preserve"> recommended, </w:t>
      </w:r>
      <w:r w:rsidR="004B5B61" w:rsidRPr="004B5B61">
        <w:rPr>
          <w:rFonts w:ascii="Trebuchet MS" w:hAnsi="Trebuchet MS"/>
        </w:rPr>
        <w:t>given</w:t>
      </w:r>
      <w:r w:rsidR="004B5B61">
        <w:rPr>
          <w:rFonts w:ascii="Trebuchet MS" w:hAnsi="Trebuchet MS"/>
        </w:rPr>
        <w:t xml:space="preserve"> their association with</w:t>
      </w:r>
      <w:r w:rsidR="004B5B61" w:rsidRPr="004B5B61">
        <w:rPr>
          <w:rFonts w:ascii="Trebuchet MS" w:hAnsi="Trebuchet MS"/>
        </w:rPr>
        <w:t xml:space="preserve"> increased risk of treatment</w:t>
      </w:r>
      <w:r w:rsidR="004B5B61">
        <w:rPr>
          <w:rFonts w:ascii="Trebuchet MS" w:hAnsi="Trebuchet MS"/>
        </w:rPr>
        <w:t xml:space="preserve"> </w:t>
      </w:r>
      <w:r w:rsidR="004B5B61" w:rsidRPr="004B5B61">
        <w:rPr>
          <w:rFonts w:ascii="Trebuchet MS" w:hAnsi="Trebuchet MS"/>
        </w:rPr>
        <w:t>failure and relapse</w:t>
      </w:r>
      <w:r w:rsidR="004B5B61">
        <w:rPr>
          <w:rFonts w:ascii="Trebuchet MS" w:hAnsi="Trebuchet MS"/>
        </w:rPr>
        <w:t xml:space="preserve">. </w:t>
      </w:r>
      <w:r w:rsidR="00D210EF">
        <w:rPr>
          <w:rFonts w:ascii="Trebuchet MS" w:hAnsi="Trebuchet MS"/>
        </w:rPr>
        <w:t>Amikacin</w:t>
      </w:r>
      <w:r w:rsidR="00580936">
        <w:rPr>
          <w:rFonts w:ascii="Trebuchet MS" w:hAnsi="Trebuchet MS"/>
        </w:rPr>
        <w:t xml:space="preserve"> </w:t>
      </w:r>
      <w:r w:rsidR="00D210EF">
        <w:rPr>
          <w:rFonts w:ascii="Trebuchet MS" w:hAnsi="Trebuchet MS"/>
        </w:rPr>
        <w:t xml:space="preserve">should only be </w:t>
      </w:r>
      <w:r w:rsidR="00961914">
        <w:rPr>
          <w:rFonts w:ascii="Trebuchet MS" w:hAnsi="Trebuchet MS"/>
        </w:rPr>
        <w:t>considered</w:t>
      </w:r>
      <w:r w:rsidR="00D210EF">
        <w:rPr>
          <w:rFonts w:ascii="Trebuchet MS" w:hAnsi="Trebuchet MS"/>
        </w:rPr>
        <w:t xml:space="preserve"> </w:t>
      </w:r>
      <w:r w:rsidR="00961914">
        <w:rPr>
          <w:rFonts w:ascii="Trebuchet MS" w:hAnsi="Trebuchet MS"/>
        </w:rPr>
        <w:t>when a regimen cannot otherwise be constructed, if drug susceptibility testing (DST</w:t>
      </w:r>
      <w:r w:rsidR="00DF37DB">
        <w:rPr>
          <w:rFonts w:ascii="Trebuchet MS" w:hAnsi="Trebuchet MS"/>
        </w:rPr>
        <w:t>) confirms susceptibility, and</w:t>
      </w:r>
      <w:r w:rsidR="00961914">
        <w:rPr>
          <w:rFonts w:ascii="Trebuchet MS" w:hAnsi="Trebuchet MS"/>
        </w:rPr>
        <w:t xml:space="preserve"> </w:t>
      </w:r>
      <w:r w:rsidR="0099032A">
        <w:rPr>
          <w:rFonts w:ascii="Trebuchet MS" w:hAnsi="Trebuchet MS"/>
        </w:rPr>
        <w:t xml:space="preserve">if </w:t>
      </w:r>
      <w:r w:rsidR="00961914">
        <w:rPr>
          <w:rFonts w:ascii="Trebuchet MS" w:hAnsi="Trebuchet MS"/>
        </w:rPr>
        <w:lastRenderedPageBreak/>
        <w:t xml:space="preserve">quality audiometry </w:t>
      </w:r>
      <w:r w:rsidR="00580936">
        <w:rPr>
          <w:rFonts w:ascii="Trebuchet MS" w:hAnsi="Trebuchet MS"/>
        </w:rPr>
        <w:t>is</w:t>
      </w:r>
      <w:r w:rsidR="00961914">
        <w:rPr>
          <w:rFonts w:ascii="Trebuchet MS" w:hAnsi="Trebuchet MS"/>
        </w:rPr>
        <w:t xml:space="preserve"> ensured (streptomycin is to be considered </w:t>
      </w:r>
      <w:r w:rsidR="00C4019A">
        <w:rPr>
          <w:rFonts w:ascii="Trebuchet MS" w:hAnsi="Trebuchet MS"/>
        </w:rPr>
        <w:t>only</w:t>
      </w:r>
      <w:r w:rsidR="00961914">
        <w:rPr>
          <w:rFonts w:ascii="Trebuchet MS" w:hAnsi="Trebuchet MS"/>
        </w:rPr>
        <w:t xml:space="preserve"> if amikacin cannot</w:t>
      </w:r>
      <w:r w:rsidR="001931F3">
        <w:rPr>
          <w:rFonts w:ascii="Trebuchet MS" w:hAnsi="Trebuchet MS"/>
        </w:rPr>
        <w:t xml:space="preserve"> be used</w:t>
      </w:r>
      <w:r w:rsidR="00C31B79">
        <w:rPr>
          <w:rFonts w:ascii="Trebuchet MS" w:hAnsi="Trebuchet MS"/>
        </w:rPr>
        <w:t xml:space="preserve">, </w:t>
      </w:r>
      <w:r w:rsidR="00961914">
        <w:rPr>
          <w:rFonts w:ascii="Trebuchet MS" w:hAnsi="Trebuchet MS"/>
        </w:rPr>
        <w:t xml:space="preserve">and if phenotypic DST confirms </w:t>
      </w:r>
      <w:r w:rsidR="00860AF0">
        <w:rPr>
          <w:rFonts w:ascii="Trebuchet MS" w:hAnsi="Trebuchet MS"/>
        </w:rPr>
        <w:t>susceptibility</w:t>
      </w:r>
      <w:r w:rsidR="00961914">
        <w:rPr>
          <w:rFonts w:ascii="Trebuchet MS" w:hAnsi="Trebuchet MS"/>
        </w:rPr>
        <w:t>).</w:t>
      </w:r>
      <w:r w:rsidR="000A4095">
        <w:rPr>
          <w:rStyle w:val="FootnoteReference"/>
          <w:rFonts w:ascii="Trebuchet MS" w:hAnsi="Trebuchet MS"/>
        </w:rPr>
        <w:footnoteReference w:id="5"/>
      </w:r>
    </w:p>
    <w:p w14:paraId="40DF92CA" w14:textId="77777777" w:rsidR="00037B0A" w:rsidRDefault="00037B0A" w:rsidP="00F30B6D">
      <w:pPr>
        <w:spacing w:after="0" w:line="240" w:lineRule="auto"/>
        <w:rPr>
          <w:rFonts w:ascii="Trebuchet MS" w:hAnsi="Trebuchet MS"/>
        </w:rPr>
      </w:pPr>
    </w:p>
    <w:p w14:paraId="2C8396A7" w14:textId="4F374B2D" w:rsidR="00587FDE" w:rsidRPr="00587FDE" w:rsidRDefault="00F50906" w:rsidP="00471E45">
      <w:pPr>
        <w:spacing w:after="0" w:line="240" w:lineRule="auto"/>
        <w:rPr>
          <w:rFonts w:ascii="Trebuchet MS" w:hAnsi="Trebuchet MS"/>
          <w:lang w:val="en-US"/>
        </w:rPr>
      </w:pPr>
      <w:r w:rsidRPr="007C1E43">
        <w:rPr>
          <w:rFonts w:ascii="Trebuchet MS" w:hAnsi="Trebuchet MS"/>
          <w:lang w:val="en-GB"/>
        </w:rPr>
        <w:t xml:space="preserve">We request the Health Ministry </w:t>
      </w:r>
      <w:r w:rsidR="002F7D3A" w:rsidRPr="007C1E43">
        <w:rPr>
          <w:rFonts w:ascii="Trebuchet MS" w:hAnsi="Trebuchet MS"/>
          <w:lang w:val="en-GB"/>
        </w:rPr>
        <w:t>to</w:t>
      </w:r>
      <w:r w:rsidR="000E336E">
        <w:rPr>
          <w:rFonts w:ascii="Trebuchet MS" w:hAnsi="Trebuchet MS"/>
          <w:lang w:val="en-GB"/>
        </w:rPr>
        <w:t xml:space="preserve"> follow South Africa’s lead and WHO recommendations by </w:t>
      </w:r>
      <w:r w:rsidR="00176550">
        <w:rPr>
          <w:rFonts w:ascii="Trebuchet MS" w:hAnsi="Trebuchet MS"/>
          <w:lang w:val="en-GB"/>
        </w:rPr>
        <w:t xml:space="preserve">ensuring </w:t>
      </w:r>
      <w:r w:rsidR="002F7D3A" w:rsidRPr="007C1E43">
        <w:rPr>
          <w:rFonts w:ascii="Trebuchet MS" w:hAnsi="Trebuchet MS"/>
          <w:lang w:val="en-GB"/>
        </w:rPr>
        <w:t>that</w:t>
      </w:r>
      <w:r w:rsidRPr="007C1E43">
        <w:rPr>
          <w:rFonts w:ascii="Trebuchet MS" w:hAnsi="Trebuchet MS"/>
          <w:lang w:val="en-GB"/>
        </w:rPr>
        <w:t xml:space="preserve"> bedaquiline replaces the injectable medicines that currently form part of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Pr="007C1E43">
        <w:rPr>
          <w:rFonts w:ascii="Trebuchet MS" w:hAnsi="Trebuchet MS"/>
          <w:lang w:val="en-GB"/>
        </w:rPr>
        <w:t xml:space="preserve"> </w:t>
      </w:r>
      <w:r w:rsidR="000E336E">
        <w:rPr>
          <w:rFonts w:ascii="Trebuchet MS" w:hAnsi="Trebuchet MS"/>
          <w:lang w:val="en-GB"/>
        </w:rPr>
        <w:t>recommended RR-TB</w:t>
      </w:r>
      <w:r w:rsidRPr="007C1E43">
        <w:rPr>
          <w:rFonts w:ascii="Trebuchet MS" w:hAnsi="Trebuchet MS"/>
          <w:lang w:val="en-GB"/>
        </w:rPr>
        <w:t xml:space="preserve"> treatment regimen</w:t>
      </w:r>
      <w:r w:rsidR="000E336E">
        <w:rPr>
          <w:rFonts w:ascii="Trebuchet MS" w:hAnsi="Trebuchet MS"/>
          <w:lang w:val="en-GB"/>
        </w:rPr>
        <w:t>.</w:t>
      </w:r>
      <w:r w:rsidR="00067B0B">
        <w:rPr>
          <w:rFonts w:ascii="Trebuchet MS" w:hAnsi="Trebuchet MS"/>
          <w:lang w:val="en-GB"/>
        </w:rPr>
        <w:t xml:space="preserve"> This includes </w:t>
      </w:r>
      <w:r w:rsidR="00176550">
        <w:rPr>
          <w:rFonts w:ascii="Trebuchet MS" w:hAnsi="Trebuchet MS"/>
          <w:lang w:val="en-GB"/>
        </w:rPr>
        <w:t>moving swiftly to update guidance, revise</w:t>
      </w:r>
      <w:r w:rsidR="00256520">
        <w:rPr>
          <w:rFonts w:ascii="Trebuchet MS" w:hAnsi="Trebuchet MS"/>
          <w:lang w:val="en-GB"/>
        </w:rPr>
        <w:t xml:space="preserve"> procurement, and conduct </w:t>
      </w:r>
      <w:r w:rsidR="00067B0B">
        <w:rPr>
          <w:rFonts w:ascii="Trebuchet MS" w:hAnsi="Trebuchet MS"/>
          <w:lang w:val="en-GB"/>
        </w:rPr>
        <w:t xml:space="preserve">trainings for </w:t>
      </w:r>
      <w:r w:rsidR="001A1DCF">
        <w:rPr>
          <w:rFonts w:ascii="Trebuchet MS" w:hAnsi="Trebuchet MS"/>
          <w:lang w:val="en-GB"/>
        </w:rPr>
        <w:t>implementation of</w:t>
      </w:r>
      <w:r w:rsidR="00067B0B">
        <w:rPr>
          <w:rFonts w:ascii="Trebuchet MS" w:hAnsi="Trebuchet MS"/>
          <w:lang w:val="en-GB"/>
        </w:rPr>
        <w:t xml:space="preserve"> the newly WHO-recommended</w:t>
      </w:r>
      <w:r w:rsidR="000740C6">
        <w:rPr>
          <w:rFonts w:ascii="Trebuchet MS" w:hAnsi="Trebuchet MS"/>
          <w:lang w:val="en-GB"/>
        </w:rPr>
        <w:t xml:space="preserve"> injectable-free</w:t>
      </w:r>
      <w:r w:rsidR="00067B0B">
        <w:rPr>
          <w:rFonts w:ascii="Trebuchet MS" w:hAnsi="Trebuchet MS"/>
          <w:lang w:val="en-GB"/>
        </w:rPr>
        <w:t xml:space="preserve"> regimen.</w:t>
      </w:r>
      <w:r w:rsidR="009A1C5F">
        <w:rPr>
          <w:rFonts w:ascii="Trebuchet MS" w:hAnsi="Trebuchet MS"/>
        </w:rPr>
        <w:t xml:space="preserve"> </w:t>
      </w:r>
      <w:r w:rsidR="00067B0B">
        <w:rPr>
          <w:rFonts w:ascii="Trebuchet MS" w:hAnsi="Trebuchet MS"/>
          <w:lang w:val="en-US"/>
        </w:rPr>
        <w:t xml:space="preserve">In updating guidelines, it is important to ensure that </w:t>
      </w:r>
      <w:r w:rsidR="00695E23">
        <w:rPr>
          <w:rFonts w:ascii="Trebuchet MS" w:hAnsi="Trebuchet MS"/>
          <w:lang w:val="en-US"/>
        </w:rPr>
        <w:t>oft neglected</w:t>
      </w:r>
      <w:r w:rsidR="00067B0B">
        <w:rPr>
          <w:rFonts w:ascii="Trebuchet MS" w:hAnsi="Trebuchet MS"/>
          <w:lang w:val="en-US"/>
        </w:rPr>
        <w:t xml:space="preserve"> </w:t>
      </w:r>
      <w:r w:rsidR="00471E45">
        <w:rPr>
          <w:rFonts w:ascii="Trebuchet MS" w:hAnsi="Trebuchet MS"/>
          <w:lang w:val="en-US"/>
        </w:rPr>
        <w:t>populations benefit from injectable-free regimens, including:</w:t>
      </w:r>
    </w:p>
    <w:p w14:paraId="18F42A7F" w14:textId="2F8C7CB8" w:rsidR="00471E45" w:rsidRPr="00471E45" w:rsidRDefault="00471E45" w:rsidP="00471E4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/>
          <w:shd w:val="clear" w:color="auto" w:fill="FFFFFF"/>
        </w:rPr>
      </w:pPr>
      <w:r w:rsidRPr="00165A7F">
        <w:rPr>
          <w:rFonts w:ascii="Trebuchet MS" w:hAnsi="Trebuchet MS"/>
          <w:b/>
          <w:lang w:val="en-US"/>
        </w:rPr>
        <w:t>people with HIV</w:t>
      </w:r>
      <w:r>
        <w:rPr>
          <w:rFonts w:ascii="Trebuchet MS" w:hAnsi="Trebuchet MS"/>
          <w:lang w:val="en-US"/>
        </w:rPr>
        <w:t>—</w:t>
      </w:r>
      <w:r w:rsidR="0072641D">
        <w:rPr>
          <w:rFonts w:ascii="Trebuchet MS" w:hAnsi="Trebuchet MS"/>
          <w:lang w:val="en-US"/>
        </w:rPr>
        <w:t>bedaquiline is safe for people with HIV, though</w:t>
      </w:r>
      <w:r w:rsidR="00C056D7">
        <w:rPr>
          <w:rFonts w:ascii="Trebuchet MS" w:hAnsi="Trebuchet MS"/>
          <w:lang w:val="en-US"/>
        </w:rPr>
        <w:t xml:space="preserve"> it cannot be used with</w:t>
      </w:r>
      <w:r w:rsidR="002A3156">
        <w:rPr>
          <w:rFonts w:ascii="Trebuchet MS" w:hAnsi="Trebuchet MS"/>
          <w:lang w:val="en-US"/>
        </w:rPr>
        <w:t xml:space="preserve"> </w:t>
      </w:r>
      <w:r w:rsidR="00BC5BC5">
        <w:rPr>
          <w:rFonts w:ascii="Trebuchet MS" w:hAnsi="Trebuchet MS"/>
          <w:lang w:val="en-US"/>
        </w:rPr>
        <w:t>some</w:t>
      </w:r>
      <w:r w:rsidR="00371ACB">
        <w:rPr>
          <w:rFonts w:ascii="Trebuchet MS" w:hAnsi="Trebuchet MS"/>
          <w:lang w:val="en-US"/>
        </w:rPr>
        <w:t xml:space="preserve"> antiretrovirals. People on efavirenz-based regimens </w:t>
      </w:r>
      <w:r w:rsidR="002D002A">
        <w:rPr>
          <w:rFonts w:ascii="Trebuchet MS" w:hAnsi="Trebuchet MS"/>
          <w:lang w:val="en-US"/>
        </w:rPr>
        <w:t>in need of bedaquiline should switch</w:t>
      </w:r>
      <w:r w:rsidR="00207178">
        <w:rPr>
          <w:rFonts w:ascii="Trebuchet MS" w:hAnsi="Trebuchet MS"/>
          <w:lang w:val="en-US"/>
        </w:rPr>
        <w:t xml:space="preserve"> to</w:t>
      </w:r>
      <w:r w:rsidR="00165A7F">
        <w:rPr>
          <w:rFonts w:ascii="Trebuchet MS" w:hAnsi="Trebuchet MS"/>
          <w:lang w:val="en-US"/>
        </w:rPr>
        <w:t xml:space="preserve"> nevirapine- or integrase inhibitor-based regimen</w:t>
      </w:r>
      <w:r w:rsidR="00207178">
        <w:rPr>
          <w:rFonts w:ascii="Trebuchet MS" w:hAnsi="Trebuchet MS"/>
          <w:lang w:val="en-US"/>
        </w:rPr>
        <w:t>s</w:t>
      </w:r>
      <w:r w:rsidR="00165A7F">
        <w:rPr>
          <w:rFonts w:ascii="Trebuchet MS" w:hAnsi="Trebuchet MS"/>
          <w:lang w:val="en-US"/>
        </w:rPr>
        <w:t>. L</w:t>
      </w:r>
      <w:r w:rsidR="00165A7F" w:rsidRPr="00165A7F">
        <w:rPr>
          <w:rFonts w:ascii="Trebuchet MS" w:hAnsi="Trebuchet MS"/>
          <w:lang w:val="en-US"/>
        </w:rPr>
        <w:t>opinavir/ritonavir</w:t>
      </w:r>
      <w:r w:rsidR="00165A7F">
        <w:rPr>
          <w:rFonts w:ascii="Trebuchet MS" w:hAnsi="Trebuchet MS"/>
          <w:lang w:val="en-US"/>
        </w:rPr>
        <w:t xml:space="preserve"> increases bedaquiline levels, though</w:t>
      </w:r>
      <w:r w:rsidR="00165A7F" w:rsidRPr="00165A7F">
        <w:rPr>
          <w:rFonts w:ascii="Trebuchet MS" w:hAnsi="Trebuchet MS"/>
          <w:lang w:val="en-US"/>
        </w:rPr>
        <w:t xml:space="preserve"> it’s not </w:t>
      </w:r>
      <w:r w:rsidR="00165A7F">
        <w:rPr>
          <w:rFonts w:ascii="Trebuchet MS" w:hAnsi="Trebuchet MS"/>
          <w:lang w:val="en-US"/>
        </w:rPr>
        <w:t xml:space="preserve">clear if adjustments are necessary. </w:t>
      </w:r>
    </w:p>
    <w:p w14:paraId="52ADF954" w14:textId="61A58B0C" w:rsidR="00471E45" w:rsidRPr="00471E45" w:rsidRDefault="00471E45" w:rsidP="00471E4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/>
          <w:shd w:val="clear" w:color="auto" w:fill="FFFFFF"/>
        </w:rPr>
      </w:pPr>
      <w:proofErr w:type="gramStart"/>
      <w:r w:rsidRPr="00165A7F">
        <w:rPr>
          <w:rFonts w:ascii="Trebuchet MS" w:hAnsi="Trebuchet MS"/>
          <w:b/>
          <w:lang w:val="en-US"/>
        </w:rPr>
        <w:t>pregnant</w:t>
      </w:r>
      <w:proofErr w:type="gramEnd"/>
      <w:r w:rsidRPr="00165A7F">
        <w:rPr>
          <w:rFonts w:ascii="Trebuchet MS" w:hAnsi="Trebuchet MS"/>
          <w:b/>
          <w:lang w:val="en-US"/>
        </w:rPr>
        <w:t xml:space="preserve"> women</w:t>
      </w:r>
      <w:r>
        <w:rPr>
          <w:rFonts w:ascii="Trebuchet MS" w:hAnsi="Trebuchet MS"/>
          <w:lang w:val="en-US"/>
        </w:rPr>
        <w:t>—</w:t>
      </w:r>
      <w:r w:rsidR="00165A7F">
        <w:rPr>
          <w:rFonts w:ascii="Trebuchet MS" w:hAnsi="Trebuchet MS"/>
          <w:lang w:val="en-US"/>
        </w:rPr>
        <w:t xml:space="preserve">research on RR-TB treatment in pregnancy is limited, but </w:t>
      </w:r>
      <w:proofErr w:type="spellStart"/>
      <w:r w:rsidR="00165A7F">
        <w:rPr>
          <w:rFonts w:ascii="Trebuchet MS" w:hAnsi="Trebuchet MS"/>
          <w:lang w:val="en-US"/>
        </w:rPr>
        <w:t>bedaquiline</w:t>
      </w:r>
      <w:proofErr w:type="spellEnd"/>
      <w:r w:rsidR="00165A7F">
        <w:rPr>
          <w:rFonts w:ascii="Trebuchet MS" w:hAnsi="Trebuchet MS"/>
          <w:lang w:val="en-US"/>
        </w:rPr>
        <w:t xml:space="preserve"> is likely to be one of the safest options for RR-TB treatment during pregnancy.</w:t>
      </w:r>
      <w:r w:rsidR="00165A7F">
        <w:rPr>
          <w:rStyle w:val="FootnoteReference"/>
          <w:rFonts w:ascii="Trebuchet MS" w:hAnsi="Trebuchet MS"/>
          <w:lang w:val="en-US"/>
        </w:rPr>
        <w:footnoteReference w:id="6"/>
      </w:r>
      <w:r w:rsidR="00165A7F">
        <w:rPr>
          <w:rFonts w:ascii="Trebuchet MS" w:hAnsi="Trebuchet MS"/>
          <w:lang w:val="en-US"/>
        </w:rPr>
        <w:t xml:space="preserve"> Pregnant women with RR-TB can and should be given bedaquiline.</w:t>
      </w:r>
    </w:p>
    <w:p w14:paraId="287CECDC" w14:textId="365EE8E8" w:rsidR="00471E45" w:rsidRPr="00D27C40" w:rsidRDefault="00471E45" w:rsidP="00471E4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/>
          <w:shd w:val="clear" w:color="auto" w:fill="FFFFFF"/>
        </w:rPr>
      </w:pPr>
      <w:r w:rsidRPr="00165A7F">
        <w:rPr>
          <w:rFonts w:ascii="Trebuchet MS" w:hAnsi="Trebuchet MS"/>
          <w:b/>
          <w:lang w:val="en-US"/>
        </w:rPr>
        <w:t>people who need multiple newer drugs or who need treatment with newer drugs for more than six months</w:t>
      </w:r>
      <w:r w:rsidR="00165A7F">
        <w:rPr>
          <w:rFonts w:ascii="Trebuchet MS" w:hAnsi="Trebuchet MS"/>
          <w:lang w:val="en-US"/>
        </w:rPr>
        <w:t xml:space="preserve">—many people with RR-TB will need multiple newer drugs (bedaquiline and delamanid together), and/or the use of them for </w:t>
      </w:r>
      <w:r w:rsidR="005C3E8C">
        <w:rPr>
          <w:rFonts w:ascii="Trebuchet MS" w:hAnsi="Trebuchet MS"/>
          <w:lang w:val="en-US"/>
        </w:rPr>
        <w:t>over</w:t>
      </w:r>
      <w:r w:rsidR="00165A7F">
        <w:rPr>
          <w:rFonts w:ascii="Trebuchet MS" w:hAnsi="Trebuchet MS"/>
          <w:lang w:val="en-US"/>
        </w:rPr>
        <w:t xml:space="preserve"> six months. E</w:t>
      </w:r>
      <w:r w:rsidRPr="00471E45">
        <w:rPr>
          <w:rFonts w:ascii="Trebuchet MS" w:eastAsia="Times New Roman" w:hAnsi="Trebuchet MS"/>
          <w:shd w:val="clear" w:color="auto" w:fill="FFFFFF"/>
        </w:rPr>
        <w:t>merging evidence suggests that</w:t>
      </w:r>
      <w:r w:rsidR="00D27C40">
        <w:rPr>
          <w:rFonts w:ascii="Trebuchet MS" w:eastAsia="Times New Roman" w:hAnsi="Trebuchet MS"/>
          <w:shd w:val="clear" w:color="auto" w:fill="FFFFFF"/>
        </w:rPr>
        <w:t xml:space="preserve"> </w:t>
      </w:r>
      <w:r w:rsidR="000F7DFC">
        <w:rPr>
          <w:rFonts w:ascii="Trebuchet MS" w:eastAsia="Times New Roman" w:hAnsi="Trebuchet MS"/>
          <w:shd w:val="clear" w:color="auto" w:fill="FFFFFF"/>
        </w:rPr>
        <w:t xml:space="preserve">giving </w:t>
      </w:r>
      <w:r w:rsidR="00D27C40">
        <w:rPr>
          <w:rFonts w:ascii="Trebuchet MS" w:eastAsia="Times New Roman" w:hAnsi="Trebuchet MS"/>
          <w:shd w:val="clear" w:color="auto" w:fill="FFFFFF"/>
        </w:rPr>
        <w:t>bedaqu</w:t>
      </w:r>
      <w:r w:rsidR="008F7AAE">
        <w:rPr>
          <w:rFonts w:ascii="Trebuchet MS" w:eastAsia="Times New Roman" w:hAnsi="Trebuchet MS"/>
          <w:shd w:val="clear" w:color="auto" w:fill="FFFFFF"/>
        </w:rPr>
        <w:t>i</w:t>
      </w:r>
      <w:r w:rsidR="00D27C40">
        <w:rPr>
          <w:rFonts w:ascii="Trebuchet MS" w:eastAsia="Times New Roman" w:hAnsi="Trebuchet MS"/>
          <w:shd w:val="clear" w:color="auto" w:fill="FFFFFF"/>
        </w:rPr>
        <w:t>l</w:t>
      </w:r>
      <w:r w:rsidR="000F7DFC">
        <w:rPr>
          <w:rFonts w:ascii="Trebuchet MS" w:eastAsia="Times New Roman" w:hAnsi="Trebuchet MS"/>
          <w:shd w:val="clear" w:color="auto" w:fill="FFFFFF"/>
        </w:rPr>
        <w:t xml:space="preserve">ine for </w:t>
      </w:r>
      <w:r w:rsidR="001C2DF9">
        <w:rPr>
          <w:rFonts w:ascii="Trebuchet MS" w:eastAsia="Times New Roman" w:hAnsi="Trebuchet MS"/>
          <w:shd w:val="clear" w:color="auto" w:fill="FFFFFF"/>
        </w:rPr>
        <w:t>over</w:t>
      </w:r>
      <w:r w:rsidR="000F7DFC">
        <w:rPr>
          <w:rFonts w:ascii="Trebuchet MS" w:eastAsia="Times New Roman" w:hAnsi="Trebuchet MS"/>
          <w:shd w:val="clear" w:color="auto" w:fill="FFFFFF"/>
        </w:rPr>
        <w:t xml:space="preserve"> six months, or</w:t>
      </w:r>
      <w:r w:rsidR="00D27C40">
        <w:rPr>
          <w:rFonts w:ascii="Trebuchet MS" w:eastAsia="Times New Roman" w:hAnsi="Trebuchet MS"/>
          <w:shd w:val="clear" w:color="auto" w:fill="FFFFFF"/>
        </w:rPr>
        <w:t xml:space="preserve"> </w:t>
      </w:r>
      <w:r w:rsidR="000F7DFC">
        <w:rPr>
          <w:rFonts w:ascii="Trebuchet MS" w:eastAsia="Times New Roman" w:hAnsi="Trebuchet MS"/>
          <w:shd w:val="clear" w:color="auto" w:fill="FFFFFF"/>
        </w:rPr>
        <w:t xml:space="preserve">giving </w:t>
      </w:r>
      <w:r w:rsidRPr="00471E45">
        <w:rPr>
          <w:rFonts w:ascii="Trebuchet MS" w:eastAsia="Times New Roman" w:hAnsi="Trebuchet MS"/>
          <w:shd w:val="clear" w:color="auto" w:fill="FFFFFF"/>
        </w:rPr>
        <w:t>bedaquiline and delamanid</w:t>
      </w:r>
      <w:r w:rsidR="000F7DFC">
        <w:rPr>
          <w:rFonts w:ascii="Trebuchet MS" w:eastAsia="Times New Roman" w:hAnsi="Trebuchet MS"/>
          <w:shd w:val="clear" w:color="auto" w:fill="FFFFFF"/>
        </w:rPr>
        <w:t xml:space="preserve"> together</w:t>
      </w:r>
      <w:r w:rsidR="00D27C40">
        <w:rPr>
          <w:rFonts w:ascii="Trebuchet MS" w:eastAsia="Times New Roman" w:hAnsi="Trebuchet MS"/>
          <w:shd w:val="clear" w:color="auto" w:fill="FFFFFF"/>
        </w:rPr>
        <w:t xml:space="preserve">, </w:t>
      </w:r>
      <w:r w:rsidR="0068570B">
        <w:rPr>
          <w:rFonts w:ascii="Trebuchet MS" w:eastAsia="Times New Roman" w:hAnsi="Trebuchet MS"/>
          <w:shd w:val="clear" w:color="auto" w:fill="FFFFFF"/>
        </w:rPr>
        <w:t>is safe and associated</w:t>
      </w:r>
      <w:r w:rsidR="00165A7F">
        <w:rPr>
          <w:rFonts w:ascii="Trebuchet MS" w:eastAsia="Times New Roman" w:hAnsi="Trebuchet MS"/>
          <w:shd w:val="clear" w:color="auto" w:fill="FFFFFF"/>
        </w:rPr>
        <w:t xml:space="preserve"> with good outcomes</w:t>
      </w:r>
      <w:r w:rsidRPr="00471E45">
        <w:rPr>
          <w:rFonts w:ascii="Trebuchet MS" w:eastAsia="Times New Roman" w:hAnsi="Trebuchet MS"/>
          <w:shd w:val="clear" w:color="auto" w:fill="FFFFFF"/>
        </w:rPr>
        <w:t>.</w:t>
      </w:r>
      <w:r w:rsidR="004710CE">
        <w:rPr>
          <w:rStyle w:val="FootnoteReference"/>
          <w:rFonts w:ascii="Trebuchet MS" w:eastAsia="Times New Roman" w:hAnsi="Trebuchet MS"/>
          <w:shd w:val="clear" w:color="auto" w:fill="FFFFFF"/>
        </w:rPr>
        <w:footnoteReference w:id="7"/>
      </w:r>
      <w:r w:rsidR="004710CE" w:rsidRPr="004710CE">
        <w:rPr>
          <w:rFonts w:ascii="Trebuchet MS" w:eastAsia="Times New Roman" w:hAnsi="Trebuchet MS"/>
          <w:shd w:val="clear" w:color="auto" w:fill="FFFFFF"/>
          <w:vertAlign w:val="superscript"/>
        </w:rPr>
        <w:t>,</w:t>
      </w:r>
      <w:r w:rsidR="004710CE">
        <w:rPr>
          <w:rStyle w:val="FootnoteReference"/>
          <w:rFonts w:ascii="Trebuchet MS" w:eastAsia="Times New Roman" w:hAnsi="Trebuchet MS"/>
          <w:shd w:val="clear" w:color="auto" w:fill="FFFFFF"/>
        </w:rPr>
        <w:footnoteReference w:id="8"/>
      </w:r>
    </w:p>
    <w:p w14:paraId="17B9EB24" w14:textId="7B159B32" w:rsidR="00067B0B" w:rsidRPr="00471E45" w:rsidRDefault="00471E45" w:rsidP="00F30B6D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lang w:val="en-US"/>
        </w:rPr>
      </w:pPr>
      <w:r w:rsidRPr="00613B0A">
        <w:rPr>
          <w:rFonts w:ascii="Trebuchet MS" w:hAnsi="Trebuchet MS"/>
          <w:b/>
          <w:lang w:val="en-US"/>
        </w:rPr>
        <w:t>children</w:t>
      </w:r>
      <w:r w:rsidR="00613B0A">
        <w:rPr>
          <w:rFonts w:ascii="Trebuchet MS" w:hAnsi="Trebuchet MS"/>
          <w:lang w:val="en-US"/>
        </w:rPr>
        <w:t xml:space="preserve"> </w:t>
      </w:r>
      <w:r w:rsidR="00613B0A" w:rsidRPr="00613B0A">
        <w:rPr>
          <w:rFonts w:ascii="Trebuchet MS" w:hAnsi="Trebuchet MS"/>
          <w:b/>
          <w:lang w:val="en-US"/>
        </w:rPr>
        <w:t>and adolescents</w:t>
      </w:r>
      <w:r w:rsidR="00371ACB">
        <w:rPr>
          <w:rFonts w:ascii="Trebuchet MS" w:hAnsi="Trebuchet MS"/>
          <w:lang w:val="en-US"/>
        </w:rPr>
        <w:t>—</w:t>
      </w:r>
      <w:r>
        <w:rPr>
          <w:rFonts w:ascii="Trebuchet MS" w:hAnsi="Trebuchet MS"/>
          <w:lang w:val="en-US"/>
        </w:rPr>
        <w:t>b</w:t>
      </w:r>
      <w:r w:rsidR="002D7194" w:rsidRPr="00471E45">
        <w:rPr>
          <w:rFonts w:ascii="Trebuchet MS" w:hAnsi="Trebuchet MS"/>
          <w:lang w:val="en-US"/>
        </w:rPr>
        <w:t>edaquiline</w:t>
      </w:r>
      <w:r w:rsidR="00BA407C" w:rsidRPr="00471E45">
        <w:rPr>
          <w:rFonts w:ascii="Trebuchet MS" w:hAnsi="Trebuchet MS"/>
          <w:lang w:val="en-US"/>
        </w:rPr>
        <w:t xml:space="preserve"> should be used in children </w:t>
      </w:r>
      <w:r w:rsidR="00346DB6" w:rsidRPr="00471E45">
        <w:rPr>
          <w:rFonts w:ascii="Trebuchet MS" w:hAnsi="Trebuchet MS"/>
          <w:lang w:val="en-US"/>
        </w:rPr>
        <w:t xml:space="preserve">aged </w:t>
      </w:r>
      <w:r w:rsidR="00BA407C" w:rsidRPr="00471E45">
        <w:rPr>
          <w:rFonts w:ascii="Trebuchet MS" w:hAnsi="Trebuchet MS"/>
          <w:lang w:val="en-US"/>
        </w:rPr>
        <w:t>12 and older</w:t>
      </w:r>
      <w:r w:rsidR="00D27C40">
        <w:rPr>
          <w:rFonts w:ascii="Trebuchet MS" w:hAnsi="Trebuchet MS"/>
          <w:lang w:val="en-US"/>
        </w:rPr>
        <w:t>,</w:t>
      </w:r>
      <w:r w:rsidR="009F7CA5" w:rsidRPr="00471E45">
        <w:rPr>
          <w:rFonts w:ascii="Trebuchet MS" w:hAnsi="Trebuchet MS"/>
          <w:lang w:val="en-US"/>
        </w:rPr>
        <w:t xml:space="preserve"> as they</w:t>
      </w:r>
      <w:r w:rsidR="00996EE5" w:rsidRPr="00471E45">
        <w:rPr>
          <w:rFonts w:ascii="Trebuchet MS" w:hAnsi="Trebuchet MS"/>
          <w:lang w:val="en-US"/>
        </w:rPr>
        <w:t xml:space="preserve"> metabolize </w:t>
      </w:r>
      <w:r w:rsidR="00346DB6" w:rsidRPr="00471E45">
        <w:rPr>
          <w:rFonts w:ascii="Trebuchet MS" w:hAnsi="Trebuchet MS"/>
          <w:lang w:val="en-US"/>
        </w:rPr>
        <w:t xml:space="preserve">the </w:t>
      </w:r>
      <w:r w:rsidR="00996EE5" w:rsidRPr="00471E45">
        <w:rPr>
          <w:rFonts w:ascii="Trebuchet MS" w:hAnsi="Trebuchet MS"/>
          <w:lang w:val="en-US"/>
        </w:rPr>
        <w:t>drug similarly to adults</w:t>
      </w:r>
      <w:r w:rsidR="002D7194" w:rsidRPr="00471E45">
        <w:rPr>
          <w:rFonts w:ascii="Trebuchet MS" w:hAnsi="Trebuchet MS"/>
          <w:lang w:val="en-US"/>
        </w:rPr>
        <w:t>. As</w:t>
      </w:r>
      <w:r w:rsidR="009E2D1D" w:rsidRPr="00471E45">
        <w:rPr>
          <w:rFonts w:ascii="Trebuchet MS" w:hAnsi="Trebuchet MS"/>
          <w:lang w:val="en-US"/>
        </w:rPr>
        <w:t xml:space="preserve"> </w:t>
      </w:r>
      <w:proofErr w:type="spellStart"/>
      <w:r w:rsidR="00CC0846" w:rsidRPr="00471E45">
        <w:rPr>
          <w:rFonts w:ascii="Trebuchet MS" w:hAnsi="Trebuchet MS"/>
          <w:lang w:val="en-US"/>
        </w:rPr>
        <w:t>paed</w:t>
      </w:r>
      <w:r w:rsidR="00660608" w:rsidRPr="00471E45">
        <w:rPr>
          <w:rFonts w:ascii="Trebuchet MS" w:hAnsi="Trebuchet MS"/>
          <w:lang w:val="en-US"/>
        </w:rPr>
        <w:t>iatric</w:t>
      </w:r>
      <w:proofErr w:type="spellEnd"/>
      <w:r w:rsidR="00660608" w:rsidRPr="00471E45">
        <w:rPr>
          <w:rFonts w:ascii="Trebuchet MS" w:hAnsi="Trebuchet MS"/>
          <w:lang w:val="en-US"/>
        </w:rPr>
        <w:t xml:space="preserve"> studies</w:t>
      </w:r>
      <w:r w:rsidR="005E6F3A" w:rsidRPr="00471E45">
        <w:rPr>
          <w:rFonts w:ascii="Trebuchet MS" w:hAnsi="Trebuchet MS"/>
          <w:lang w:val="en-US"/>
        </w:rPr>
        <w:t xml:space="preserve"> of bedaquiline</w:t>
      </w:r>
      <w:r w:rsidR="00660608" w:rsidRPr="00471E45">
        <w:rPr>
          <w:rFonts w:ascii="Trebuchet MS" w:hAnsi="Trebuchet MS"/>
          <w:lang w:val="en-US"/>
        </w:rPr>
        <w:t xml:space="preserve"> are ongoing</w:t>
      </w:r>
      <w:r w:rsidR="00F6026B" w:rsidRPr="00471E45">
        <w:rPr>
          <w:rFonts w:ascii="Trebuchet MS" w:hAnsi="Trebuchet MS"/>
          <w:lang w:val="en-US"/>
        </w:rPr>
        <w:t xml:space="preserve"> in children under 12</w:t>
      </w:r>
      <w:r w:rsidR="00660608" w:rsidRPr="00471E45">
        <w:rPr>
          <w:rFonts w:ascii="Trebuchet MS" w:hAnsi="Trebuchet MS"/>
          <w:lang w:val="en-US"/>
        </w:rPr>
        <w:t>, we request the Health Ministry to ensure an appropriate injectable-free regimen for children</w:t>
      </w:r>
      <w:r w:rsidR="009F7CA5" w:rsidRPr="00471E45">
        <w:rPr>
          <w:rFonts w:ascii="Trebuchet MS" w:hAnsi="Trebuchet MS"/>
          <w:lang w:val="en-US"/>
        </w:rPr>
        <w:t xml:space="preserve"> under 12</w:t>
      </w:r>
      <w:r w:rsidR="00660608" w:rsidRPr="00471E45">
        <w:rPr>
          <w:rFonts w:ascii="Trebuchet MS" w:hAnsi="Trebuchet MS"/>
          <w:lang w:val="en-US"/>
        </w:rPr>
        <w:t xml:space="preserve">, </w:t>
      </w:r>
      <w:r w:rsidR="00CC0846" w:rsidRPr="00471E45">
        <w:rPr>
          <w:rFonts w:ascii="Trebuchet MS" w:eastAsia="Times New Roman" w:hAnsi="Trebuchet MS"/>
          <w:shd w:val="clear" w:color="auto" w:fill="FFFFFF"/>
        </w:rPr>
        <w:t>who are particularly vulnerable to hearing loss. For children under 12 years old with less severe disease,</w:t>
      </w:r>
      <w:r w:rsidR="00660608" w:rsidRPr="00471E45">
        <w:rPr>
          <w:rFonts w:ascii="Trebuchet MS" w:eastAsia="Times New Roman" w:hAnsi="Trebuchet MS"/>
          <w:shd w:val="clear" w:color="auto" w:fill="FFFFFF"/>
        </w:rPr>
        <w:t xml:space="preserve"> the Health Ministry</w:t>
      </w:r>
      <w:r w:rsidR="00CC0846" w:rsidRPr="00471E45">
        <w:rPr>
          <w:rFonts w:ascii="Trebuchet MS" w:eastAsia="Times New Roman" w:hAnsi="Trebuchet MS"/>
          <w:shd w:val="clear" w:color="auto" w:fill="FFFFFF"/>
        </w:rPr>
        <w:t xml:space="preserve"> should drop the injectable without replacement in line with </w:t>
      </w:r>
      <w:r w:rsidR="00A05B5E" w:rsidRPr="00471E45">
        <w:rPr>
          <w:rFonts w:ascii="Trebuchet MS" w:eastAsia="Times New Roman" w:hAnsi="Trebuchet MS"/>
        </w:rPr>
        <w:t xml:space="preserve">2016 </w:t>
      </w:r>
      <w:r w:rsidR="00901D98" w:rsidRPr="00471E45">
        <w:rPr>
          <w:rFonts w:ascii="Trebuchet MS" w:eastAsia="Times New Roman" w:hAnsi="Trebuchet MS"/>
          <w:shd w:val="clear" w:color="auto" w:fill="FFFFFF"/>
        </w:rPr>
        <w:t xml:space="preserve">World Health Organization </w:t>
      </w:r>
      <w:r w:rsidR="00CC0846" w:rsidRPr="00471E45">
        <w:rPr>
          <w:rFonts w:ascii="Trebuchet MS" w:eastAsia="Times New Roman" w:hAnsi="Trebuchet MS"/>
          <w:shd w:val="clear" w:color="auto" w:fill="FFFFFF"/>
        </w:rPr>
        <w:t>recommendations for children</w:t>
      </w:r>
      <w:r w:rsidR="00067B0B" w:rsidRPr="00471E45">
        <w:rPr>
          <w:rFonts w:ascii="Trebuchet MS" w:eastAsia="Times New Roman" w:hAnsi="Trebuchet MS"/>
          <w:shd w:val="clear" w:color="auto" w:fill="FFFFFF"/>
        </w:rPr>
        <w:t>.</w:t>
      </w:r>
      <w:r w:rsidR="0069102A" w:rsidRPr="007C1E43">
        <w:rPr>
          <w:rStyle w:val="FootnoteReference"/>
          <w:rFonts w:ascii="Trebuchet MS" w:eastAsia="Times New Roman" w:hAnsi="Trebuchet MS"/>
        </w:rPr>
        <w:footnoteReference w:id="9"/>
      </w:r>
      <w:r w:rsidR="00CC0846" w:rsidRPr="00471E45">
        <w:rPr>
          <w:rFonts w:ascii="Trebuchet MS" w:eastAsia="Times New Roman" w:hAnsi="Trebuchet MS"/>
          <w:shd w:val="clear" w:color="auto" w:fill="FFFFFF"/>
        </w:rPr>
        <w:t xml:space="preserve"> For children under 12 years with more severe forms of disease, </w:t>
      </w:r>
      <w:r w:rsidR="005E6F3A" w:rsidRPr="00471E45">
        <w:rPr>
          <w:rFonts w:ascii="Trebuchet MS" w:eastAsia="Times New Roman" w:hAnsi="Trebuchet MS"/>
          <w:shd w:val="clear" w:color="auto" w:fill="FFFFFF"/>
        </w:rPr>
        <w:t xml:space="preserve">the </w:t>
      </w:r>
      <w:r w:rsidR="002072DF" w:rsidRPr="00471E45">
        <w:rPr>
          <w:rFonts w:ascii="Trebuchet MS" w:eastAsia="Times New Roman" w:hAnsi="Trebuchet MS"/>
          <w:shd w:val="clear" w:color="auto" w:fill="FFFFFF"/>
        </w:rPr>
        <w:t xml:space="preserve">Health Ministry </w:t>
      </w:r>
      <w:r w:rsidR="00CC0846" w:rsidRPr="00471E45">
        <w:rPr>
          <w:rFonts w:ascii="Trebuchet MS" w:eastAsia="Times New Roman" w:hAnsi="Trebuchet MS"/>
          <w:shd w:val="clear" w:color="auto" w:fill="FFFFFF"/>
        </w:rPr>
        <w:t xml:space="preserve">should </w:t>
      </w:r>
      <w:r w:rsidR="005E6F3A" w:rsidRPr="00471E45">
        <w:rPr>
          <w:rFonts w:ascii="Trebuchet MS" w:eastAsia="Times New Roman" w:hAnsi="Trebuchet MS"/>
          <w:shd w:val="clear" w:color="auto" w:fill="FFFFFF"/>
        </w:rPr>
        <w:t>replace</w:t>
      </w:r>
      <w:r w:rsidR="00CC0846" w:rsidRPr="00471E45">
        <w:rPr>
          <w:rFonts w:ascii="Trebuchet MS" w:eastAsia="Times New Roman" w:hAnsi="Trebuchet MS"/>
          <w:shd w:val="clear" w:color="auto" w:fill="FFFFFF"/>
        </w:rPr>
        <w:t xml:space="preserve"> the injectable with </w:t>
      </w:r>
      <w:r w:rsidR="005E6F3A" w:rsidRPr="00471E45">
        <w:rPr>
          <w:rFonts w:ascii="Trebuchet MS" w:eastAsia="Times New Roman" w:hAnsi="Trebuchet MS"/>
          <w:shd w:val="clear" w:color="auto" w:fill="FFFFFF"/>
        </w:rPr>
        <w:t>delamanid—w</w:t>
      </w:r>
      <w:r w:rsidR="00CC0846" w:rsidRPr="00471E45">
        <w:rPr>
          <w:rFonts w:ascii="Trebuchet MS" w:eastAsia="Times New Roman" w:hAnsi="Trebuchet MS"/>
          <w:shd w:val="clear" w:color="auto" w:fill="FFFFFF"/>
        </w:rPr>
        <w:t>hich has been shown to be very safe</w:t>
      </w:r>
      <w:r w:rsidR="009F7CA5" w:rsidRPr="00471E45">
        <w:rPr>
          <w:rFonts w:ascii="Trebuchet MS" w:eastAsia="Times New Roman" w:hAnsi="Trebuchet MS"/>
          <w:shd w:val="clear" w:color="auto" w:fill="FFFFFF"/>
        </w:rPr>
        <w:t>,</w:t>
      </w:r>
      <w:r w:rsidR="00CC0846" w:rsidRPr="00471E45">
        <w:rPr>
          <w:rFonts w:ascii="Trebuchet MS" w:eastAsia="Times New Roman" w:hAnsi="Trebuchet MS"/>
          <w:shd w:val="clear" w:color="auto" w:fill="FFFFFF"/>
        </w:rPr>
        <w:t xml:space="preserve"> </w:t>
      </w:r>
      <w:r w:rsidR="005E6F3A" w:rsidRPr="00471E45">
        <w:rPr>
          <w:rFonts w:ascii="Trebuchet MS" w:eastAsia="Times New Roman" w:hAnsi="Trebuchet MS"/>
          <w:shd w:val="clear" w:color="auto" w:fill="FFFFFF"/>
        </w:rPr>
        <w:t xml:space="preserve">and </w:t>
      </w:r>
      <w:r w:rsidR="00294977" w:rsidRPr="00471E45">
        <w:rPr>
          <w:rFonts w:ascii="Trebuchet MS" w:eastAsia="Times New Roman" w:hAnsi="Trebuchet MS"/>
          <w:shd w:val="clear" w:color="auto" w:fill="FFFFFF"/>
        </w:rPr>
        <w:t xml:space="preserve">its paediatric use is recommended by </w:t>
      </w:r>
      <w:r w:rsidR="00044E2D" w:rsidRPr="00471E45">
        <w:rPr>
          <w:rFonts w:ascii="Trebuchet MS" w:eastAsia="Times New Roman" w:hAnsi="Trebuchet MS"/>
          <w:shd w:val="clear" w:color="auto" w:fill="FFFFFF"/>
        </w:rPr>
        <w:t xml:space="preserve">the </w:t>
      </w:r>
      <w:r w:rsidR="00CC0846" w:rsidRPr="00471E45">
        <w:rPr>
          <w:rFonts w:ascii="Trebuchet MS" w:eastAsia="Times New Roman" w:hAnsi="Trebuchet MS"/>
          <w:shd w:val="clear" w:color="auto" w:fill="FFFFFF"/>
        </w:rPr>
        <w:t>W</w:t>
      </w:r>
      <w:r w:rsidR="005E6F3A" w:rsidRPr="00471E45">
        <w:rPr>
          <w:rFonts w:ascii="Trebuchet MS" w:eastAsia="Times New Roman" w:hAnsi="Trebuchet MS"/>
          <w:shd w:val="clear" w:color="auto" w:fill="FFFFFF"/>
        </w:rPr>
        <w:t>orld Health Organization</w:t>
      </w:r>
      <w:r w:rsidR="00067B0B" w:rsidRPr="00471E45">
        <w:rPr>
          <w:rFonts w:ascii="Trebuchet MS" w:eastAsia="Times New Roman" w:hAnsi="Trebuchet MS"/>
          <w:shd w:val="clear" w:color="auto" w:fill="FFFFFF"/>
        </w:rPr>
        <w:t>.</w:t>
      </w:r>
      <w:r w:rsidR="0069102A" w:rsidRPr="007C1E43">
        <w:rPr>
          <w:rStyle w:val="FootnoteReference"/>
          <w:rFonts w:ascii="Trebuchet MS" w:eastAsia="Times New Roman" w:hAnsi="Trebuchet MS"/>
          <w:shd w:val="clear" w:color="auto" w:fill="FFFFFF"/>
        </w:rPr>
        <w:footnoteReference w:id="10"/>
      </w:r>
      <w:r w:rsidR="005E6F3A" w:rsidRPr="00471E45">
        <w:rPr>
          <w:rFonts w:ascii="Trebuchet MS" w:eastAsia="Times New Roman" w:hAnsi="Trebuchet MS"/>
          <w:shd w:val="clear" w:color="auto" w:fill="FFFFFF"/>
        </w:rPr>
        <w:t xml:space="preserve"> </w:t>
      </w:r>
    </w:p>
    <w:p w14:paraId="2FB64450" w14:textId="77777777" w:rsidR="00067B0B" w:rsidRDefault="00067B0B" w:rsidP="00F30B6D">
      <w:pPr>
        <w:spacing w:after="0" w:line="240" w:lineRule="auto"/>
        <w:rPr>
          <w:rFonts w:ascii="Trebuchet MS" w:hAnsi="Trebuchet MS"/>
        </w:rPr>
      </w:pPr>
    </w:p>
    <w:p w14:paraId="0239A2F5" w14:textId="3E60B83E" w:rsidR="008C5E3E" w:rsidRDefault="00CB0C89" w:rsidP="00F30B6D">
      <w:pPr>
        <w:spacing w:after="0" w:line="240" w:lineRule="auto"/>
        <w:rPr>
          <w:rFonts w:ascii="Trebuchet MS" w:hAnsi="Trebuchet MS"/>
        </w:rPr>
      </w:pPr>
      <w:r w:rsidRPr="007C1E43">
        <w:rPr>
          <w:rFonts w:ascii="Trebuchet MS" w:hAnsi="Trebuchet MS"/>
        </w:rPr>
        <w:t>P</w:t>
      </w:r>
      <w:r w:rsidR="00231386" w:rsidRPr="007C1E43">
        <w:rPr>
          <w:rFonts w:ascii="Trebuchet MS" w:hAnsi="Trebuchet MS"/>
        </w:rPr>
        <w:t xml:space="preserve">atients </w:t>
      </w:r>
      <w:r w:rsidRPr="007C1E43">
        <w:rPr>
          <w:rFonts w:ascii="Trebuchet MS" w:hAnsi="Trebuchet MS"/>
        </w:rPr>
        <w:t xml:space="preserve">with </w:t>
      </w:r>
      <w:r w:rsidR="00067B0B">
        <w:rPr>
          <w:rFonts w:ascii="Trebuchet MS" w:hAnsi="Trebuchet MS"/>
        </w:rPr>
        <w:t>R</w:t>
      </w:r>
      <w:r w:rsidRPr="007C1E43">
        <w:rPr>
          <w:rFonts w:ascii="Trebuchet MS" w:hAnsi="Trebuchet MS"/>
        </w:rPr>
        <w:t xml:space="preserve">R-TB </w:t>
      </w:r>
      <w:r w:rsidR="00231386" w:rsidRPr="007C1E43">
        <w:rPr>
          <w:rFonts w:ascii="Trebuchet MS" w:hAnsi="Trebuchet MS"/>
        </w:rPr>
        <w:t>are suffering from painful injectables and permanent hearing loss</w:t>
      </w:r>
      <w:r w:rsidRPr="007C1E43">
        <w:rPr>
          <w:rFonts w:ascii="Trebuchet MS" w:hAnsi="Trebuchet MS"/>
        </w:rPr>
        <w:t xml:space="preserve"> from injectables</w:t>
      </w:r>
      <w:r w:rsidR="00231386" w:rsidRPr="007C1E43">
        <w:rPr>
          <w:rFonts w:ascii="Trebuchet MS" w:hAnsi="Trebuchet MS"/>
        </w:rPr>
        <w:t>, when</w:t>
      </w:r>
      <w:r w:rsidR="00DB430A">
        <w:rPr>
          <w:rFonts w:ascii="Trebuchet MS" w:hAnsi="Trebuchet MS"/>
        </w:rPr>
        <w:t xml:space="preserve"> safer,</w:t>
      </w:r>
      <w:r w:rsidR="00231386" w:rsidRPr="007C1E43">
        <w:rPr>
          <w:rFonts w:ascii="Trebuchet MS" w:hAnsi="Trebuchet MS"/>
        </w:rPr>
        <w:t xml:space="preserve"> more effective evidence-based treatment options</w:t>
      </w:r>
      <w:r w:rsidR="00DB430A">
        <w:rPr>
          <w:rFonts w:ascii="Trebuchet MS" w:hAnsi="Trebuchet MS"/>
        </w:rPr>
        <w:t xml:space="preserve"> exist.</w:t>
      </w:r>
      <w:r w:rsidR="004C099E">
        <w:rPr>
          <w:rFonts w:ascii="Trebuchet MS" w:hAnsi="Trebuchet MS"/>
        </w:rPr>
        <w:t xml:space="preserve"> </w:t>
      </w:r>
      <w:r w:rsidR="008C5E3E" w:rsidRPr="007C1E43">
        <w:rPr>
          <w:rFonts w:ascii="Trebuchet MS" w:hAnsi="Trebuchet MS"/>
        </w:rPr>
        <w:t xml:space="preserve">We </w:t>
      </w:r>
      <w:r w:rsidR="00AF70D5">
        <w:rPr>
          <w:rFonts w:ascii="Trebuchet MS" w:hAnsi="Trebuchet MS"/>
        </w:rPr>
        <w:t xml:space="preserve">look to </w:t>
      </w:r>
      <w:r w:rsidR="008C5E3E" w:rsidRPr="007C1E43">
        <w:rPr>
          <w:rFonts w:ascii="Trebuchet MS" w:hAnsi="Trebuchet MS"/>
        </w:rPr>
        <w:t xml:space="preserve">the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="008C5E3E" w:rsidRPr="007C1E43">
        <w:rPr>
          <w:rFonts w:ascii="Trebuchet MS" w:hAnsi="Trebuchet MS"/>
        </w:rPr>
        <w:t xml:space="preserve"> Government </w:t>
      </w:r>
      <w:r w:rsidR="00AF70D5">
        <w:rPr>
          <w:rFonts w:ascii="Trebuchet MS" w:hAnsi="Trebuchet MS"/>
        </w:rPr>
        <w:t>to right the course by taking</w:t>
      </w:r>
      <w:r w:rsidR="008C5E3E" w:rsidRPr="007C1E43">
        <w:rPr>
          <w:rFonts w:ascii="Trebuchet MS" w:hAnsi="Trebuchet MS"/>
        </w:rPr>
        <w:t xml:space="preserve"> the necessary action</w:t>
      </w:r>
      <w:r w:rsidR="00AF70D5">
        <w:rPr>
          <w:rFonts w:ascii="Trebuchet MS" w:hAnsi="Trebuchet MS"/>
        </w:rPr>
        <w:t>s</w:t>
      </w:r>
      <w:bookmarkStart w:id="3" w:name="_GoBack"/>
      <w:r w:rsidR="00860AF0">
        <w:rPr>
          <w:rFonts w:ascii="Trebuchet MS" w:hAnsi="Trebuchet MS"/>
        </w:rPr>
        <w:t xml:space="preserve"> and provide the strong leadership</w:t>
      </w:r>
      <w:bookmarkEnd w:id="3"/>
      <w:r w:rsidR="008C5E3E" w:rsidRPr="007C1E43">
        <w:rPr>
          <w:rFonts w:ascii="Trebuchet MS" w:hAnsi="Trebuchet MS"/>
        </w:rPr>
        <w:t xml:space="preserve"> </w:t>
      </w:r>
      <w:r w:rsidR="00AF70D5">
        <w:rPr>
          <w:rFonts w:ascii="Trebuchet MS" w:hAnsi="Trebuchet MS"/>
        </w:rPr>
        <w:t>to uphold the right of every person</w:t>
      </w:r>
      <w:r w:rsidR="008C5E3E" w:rsidRPr="007C1E43">
        <w:rPr>
          <w:rFonts w:ascii="Trebuchet MS" w:hAnsi="Trebuchet MS"/>
        </w:rPr>
        <w:t xml:space="preserve"> affected by TB to access drugs that will cure them and not leave them with permanent </w:t>
      </w:r>
      <w:r w:rsidR="00231386" w:rsidRPr="007C1E43">
        <w:rPr>
          <w:rFonts w:ascii="Trebuchet MS" w:hAnsi="Trebuchet MS"/>
        </w:rPr>
        <w:t>disability</w:t>
      </w:r>
      <w:r w:rsidR="008C5E3E" w:rsidRPr="007C1E43">
        <w:rPr>
          <w:rFonts w:ascii="Trebuchet MS" w:hAnsi="Trebuchet MS"/>
        </w:rPr>
        <w:t xml:space="preserve">. </w:t>
      </w:r>
    </w:p>
    <w:p w14:paraId="5617EC4B" w14:textId="77777777" w:rsidR="00641DF7" w:rsidRPr="007C1E43" w:rsidRDefault="00641DF7" w:rsidP="00F30B6D">
      <w:pPr>
        <w:spacing w:after="0" w:line="240" w:lineRule="auto"/>
        <w:rPr>
          <w:rFonts w:ascii="Trebuchet MS" w:hAnsi="Trebuchet MS"/>
        </w:rPr>
      </w:pPr>
    </w:p>
    <w:p w14:paraId="22757168" w14:textId="58B1CF6A" w:rsidR="00F30B6D" w:rsidRPr="006E12A1" w:rsidRDefault="00432FFD" w:rsidP="00F30B6D">
      <w:pPr>
        <w:spacing w:after="0" w:line="240" w:lineRule="auto"/>
        <w:rPr>
          <w:rFonts w:ascii="Trebuchet MS" w:hAnsi="Trebuchet MS"/>
        </w:rPr>
      </w:pPr>
      <w:r w:rsidRPr="007C1E43">
        <w:rPr>
          <w:rFonts w:ascii="Trebuchet MS" w:hAnsi="Trebuchet MS"/>
        </w:rPr>
        <w:t xml:space="preserve">We look forward to your response by </w:t>
      </w:r>
      <w:r w:rsidR="00641DF7" w:rsidRPr="007C1E43">
        <w:rPr>
          <w:rFonts w:ascii="Trebuchet MS" w:hAnsi="Trebuchet MS"/>
          <w:color w:val="ED7D31" w:themeColor="accent2"/>
          <w:lang w:val="en-US"/>
        </w:rPr>
        <w:t>(</w:t>
      </w:r>
      <w:r w:rsidR="00641DF7">
        <w:rPr>
          <w:rFonts w:ascii="Trebuchet MS" w:hAnsi="Trebuchet MS"/>
          <w:color w:val="ED7D31" w:themeColor="accent2"/>
          <w:lang w:val="en-US"/>
        </w:rPr>
        <w:t>date—recommend two weeks from sending</w:t>
      </w:r>
      <w:r w:rsidR="00641DF7" w:rsidRPr="007C1E43">
        <w:rPr>
          <w:rFonts w:ascii="Trebuchet MS" w:hAnsi="Trebuchet MS"/>
          <w:color w:val="ED7D31" w:themeColor="accent2"/>
          <w:lang w:val="en-US"/>
        </w:rPr>
        <w:t>)</w:t>
      </w:r>
      <w:r w:rsidR="00641DF7" w:rsidRPr="00B61476">
        <w:rPr>
          <w:rFonts w:ascii="Trebuchet MS" w:hAnsi="Trebuchet MS"/>
          <w:lang w:val="en-US"/>
        </w:rPr>
        <w:t>,</w:t>
      </w:r>
      <w:r w:rsidRPr="007C1E43">
        <w:rPr>
          <w:rFonts w:ascii="Trebuchet MS" w:hAnsi="Trebuchet MS"/>
        </w:rPr>
        <w:t xml:space="preserve"> and are committed to supporting the ministry and the TB programme in providing the highest qu</w:t>
      </w:r>
      <w:r w:rsidR="00FC363E" w:rsidRPr="007C1E43">
        <w:rPr>
          <w:rFonts w:ascii="Trebuchet MS" w:hAnsi="Trebuchet MS"/>
        </w:rPr>
        <w:t xml:space="preserve">aity care and ending TB in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(Your Country)</w:t>
      </w:r>
      <w:r w:rsidRPr="007C1E43">
        <w:rPr>
          <w:rFonts w:ascii="Trebuchet MS" w:hAnsi="Trebuchet MS"/>
        </w:rPr>
        <w:t xml:space="preserve">. </w:t>
      </w:r>
      <w:r w:rsidR="00405922" w:rsidRPr="007C1E43">
        <w:rPr>
          <w:rFonts w:ascii="Trebuchet MS" w:hAnsi="Trebuchet MS"/>
          <w:lang w:val="en-US"/>
        </w:rPr>
        <w:t>For further informati</w:t>
      </w:r>
      <w:r w:rsidR="00FC363E" w:rsidRPr="007C1E43">
        <w:rPr>
          <w:rFonts w:ascii="Trebuchet MS" w:hAnsi="Trebuchet MS"/>
          <w:lang w:val="en-US"/>
        </w:rPr>
        <w:t xml:space="preserve">on, kindly contact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(Name)</w:t>
      </w:r>
      <w:r w:rsidR="00405922" w:rsidRPr="007C1E43">
        <w:rPr>
          <w:rFonts w:ascii="Trebuchet MS" w:hAnsi="Trebuchet MS"/>
          <w:color w:val="ED7D31" w:themeColor="accent2"/>
          <w:lang w:val="en-US"/>
        </w:rPr>
        <w:t>,</w:t>
      </w:r>
      <w:r w:rsidR="00405922" w:rsidRPr="007C1E43">
        <w:rPr>
          <w:rFonts w:ascii="Trebuchet MS" w:hAnsi="Trebuchet MS"/>
          <w:lang w:val="en-US"/>
        </w:rPr>
        <w:t xml:space="preserve">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</w:t>
      </w:r>
      <w:proofErr w:type="spellStart"/>
      <w:r w:rsidR="00FC363E" w:rsidRPr="007C1E43">
        <w:rPr>
          <w:rFonts w:ascii="Trebuchet MS" w:hAnsi="Trebuchet MS"/>
          <w:color w:val="ED7D31" w:themeColor="accent2"/>
          <w:lang w:val="en-US"/>
        </w:rPr>
        <w:t>Organisation</w:t>
      </w:r>
      <w:proofErr w:type="spellEnd"/>
      <w:r w:rsidR="00FC363E" w:rsidRPr="007C1E43">
        <w:rPr>
          <w:rFonts w:ascii="Trebuchet MS" w:hAnsi="Trebuchet MS"/>
          <w:color w:val="ED7D31" w:themeColor="accent2"/>
          <w:lang w:val="en-US"/>
        </w:rPr>
        <w:t xml:space="preserve"> Name)</w:t>
      </w:r>
      <w:r w:rsidR="00405922" w:rsidRPr="007C1E43">
        <w:rPr>
          <w:rFonts w:ascii="Trebuchet MS" w:hAnsi="Trebuchet MS"/>
          <w:color w:val="ED7D31" w:themeColor="accent2"/>
          <w:lang w:val="en-US"/>
        </w:rPr>
        <w:t>,</w:t>
      </w:r>
      <w:r w:rsidR="00405922" w:rsidRPr="007C1E43">
        <w:rPr>
          <w:rFonts w:ascii="Trebuchet MS" w:hAnsi="Trebuchet MS"/>
          <w:lang w:val="en-US"/>
        </w:rPr>
        <w:t xml:space="preserve"> on</w:t>
      </w:r>
      <w:r w:rsidR="009E699C" w:rsidRPr="007C1E43">
        <w:rPr>
          <w:rFonts w:ascii="Trebuchet MS" w:hAnsi="Trebuchet MS"/>
          <w:lang w:val="en-US"/>
        </w:rPr>
        <w:t xml:space="preserve"> </w:t>
      </w:r>
      <w:r w:rsidR="00FC363E" w:rsidRPr="007C1E43">
        <w:rPr>
          <w:rFonts w:ascii="Trebuchet MS" w:hAnsi="Trebuchet MS"/>
          <w:color w:val="ED7D31" w:themeColor="accent2"/>
          <w:lang w:val="en-US"/>
        </w:rPr>
        <w:t>(Contact No.)</w:t>
      </w:r>
      <w:r w:rsidR="00405922" w:rsidRPr="007C1E43">
        <w:rPr>
          <w:rFonts w:ascii="Trebuchet MS" w:hAnsi="Trebuchet MS"/>
          <w:color w:val="ED7D31" w:themeColor="accent2"/>
          <w:lang w:val="en-US"/>
        </w:rPr>
        <w:t>,</w:t>
      </w:r>
      <w:r w:rsidR="00405922" w:rsidRPr="007C1E43">
        <w:rPr>
          <w:rFonts w:ascii="Trebuchet MS" w:hAnsi="Trebuchet MS"/>
          <w:lang w:val="en-US"/>
        </w:rPr>
        <w:t xml:space="preserve"> or email </w:t>
      </w:r>
      <w:r w:rsidR="00FC363E" w:rsidRPr="007C1E43">
        <w:rPr>
          <w:rFonts w:ascii="Trebuchet MS" w:hAnsi="Trebuchet MS"/>
        </w:rPr>
        <w:t xml:space="preserve">at </w:t>
      </w:r>
      <w:r w:rsidR="00FC363E" w:rsidRPr="007C1E43">
        <w:rPr>
          <w:rFonts w:ascii="Trebuchet MS" w:hAnsi="Trebuchet MS"/>
          <w:color w:val="ED7D31" w:themeColor="accent2"/>
        </w:rPr>
        <w:t>(email address)</w:t>
      </w:r>
    </w:p>
    <w:p w14:paraId="7C6DC5E1" w14:textId="77777777" w:rsidR="00F30B6D" w:rsidRPr="007C1E43" w:rsidRDefault="00F30B6D" w:rsidP="00F30B6D">
      <w:pPr>
        <w:spacing w:after="0" w:line="240" w:lineRule="auto"/>
        <w:rPr>
          <w:rFonts w:ascii="Trebuchet MS" w:hAnsi="Trebuchet MS"/>
          <w:lang w:val="en-US"/>
        </w:rPr>
      </w:pPr>
    </w:p>
    <w:p w14:paraId="73C8BF50" w14:textId="223666C5" w:rsidR="00784691" w:rsidRDefault="008E6F0A" w:rsidP="006060F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en-US"/>
        </w:rPr>
        <w:lastRenderedPageBreak/>
        <w:t>Respectfully submitted</w:t>
      </w:r>
      <w:r w:rsidR="008C5E3E" w:rsidRPr="007C1E43">
        <w:rPr>
          <w:rFonts w:ascii="Trebuchet MS" w:hAnsi="Trebuchet MS"/>
        </w:rPr>
        <w:t>,</w:t>
      </w:r>
    </w:p>
    <w:p w14:paraId="1C11647E" w14:textId="77777777" w:rsidR="006060F7" w:rsidRPr="007C1E43" w:rsidRDefault="006060F7" w:rsidP="006060F7">
      <w:pPr>
        <w:spacing w:after="0" w:line="240" w:lineRule="auto"/>
        <w:rPr>
          <w:rFonts w:ascii="Trebuchet MS" w:hAnsi="Trebuchet MS"/>
        </w:rPr>
      </w:pPr>
    </w:p>
    <w:sectPr w:rsidR="006060F7" w:rsidRPr="007C1E43" w:rsidSect="00F4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rica Lessem" w:date="2018-07-11T10:11:00Z" w:initials="EL">
    <w:p w14:paraId="2D35A498" w14:textId="77777777" w:rsidR="0099032A" w:rsidRPr="006637BD" w:rsidRDefault="0099032A" w:rsidP="006637B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CommentReference"/>
        </w:rPr>
        <w:annotationRef/>
      </w:r>
      <w:r>
        <w:t xml:space="preserve">You can find these data here: </w:t>
      </w:r>
      <w:r w:rsidRPr="006637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http://www.who.int/tb/country/data/profiles/en/</w:t>
      </w:r>
    </w:p>
    <w:p w14:paraId="4EDD2978" w14:textId="547133A2" w:rsidR="0099032A" w:rsidRDefault="0099032A">
      <w:pPr>
        <w:pStyle w:val="CommentText"/>
      </w:pPr>
    </w:p>
  </w:comment>
  <w:comment w:id="1" w:author="Erica Lessem" w:date="2018-09-03T21:15:00Z" w:initials="EL">
    <w:p w14:paraId="41212CE4" w14:textId="2AEB6F3E" w:rsidR="0099032A" w:rsidRDefault="0099032A">
      <w:pPr>
        <w:pStyle w:val="CommentText"/>
      </w:pPr>
      <w:r>
        <w:rPr>
          <w:rStyle w:val="CommentReference"/>
        </w:rPr>
        <w:annotationRef/>
      </w:r>
      <w:r w:rsidRPr="00937A77">
        <w:rPr>
          <w:rFonts w:ascii="Calibri" w:hAnsi="Calibri" w:cs="Calibri"/>
        </w:rPr>
        <w:t xml:space="preserve">contact DR-TB STAT for this information: </w:t>
      </w:r>
      <w:hyperlink r:id="rId1" w:history="1">
        <w:r w:rsidRPr="00937A77">
          <w:rPr>
            <w:rStyle w:val="Hyperlink"/>
            <w:rFonts w:ascii="Calibri" w:hAnsi="Calibri" w:cs="Calibri"/>
          </w:rPr>
          <w:t>jenniferfurin@gmail.com</w:t>
        </w:r>
      </w:hyperlink>
    </w:p>
  </w:comment>
  <w:comment w:id="2" w:author="Erica Lessem" w:date="2018-09-03T16:26:00Z" w:initials="EL">
    <w:p w14:paraId="67442819" w14:textId="29F1946F" w:rsidR="0099032A" w:rsidRDefault="0099032A">
      <w:pPr>
        <w:pStyle w:val="CommentText"/>
      </w:pPr>
      <w:r>
        <w:rPr>
          <w:rStyle w:val="CommentReference"/>
        </w:rPr>
        <w:annotationRef/>
      </w:r>
      <w:r>
        <w:t>Can also find data on your country at link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D2978" w15:done="0"/>
  <w15:commentEx w15:paraId="41212CE4" w15:done="0"/>
  <w15:commentEx w15:paraId="674428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D2978" w16cid:durableId="1F3E3E95"/>
  <w16cid:commentId w16cid:paraId="41212CE4" w16cid:durableId="1F3E3E96"/>
  <w16cid:commentId w16cid:paraId="67442819" w16cid:durableId="1F3E3E9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6680" w14:textId="77777777" w:rsidR="002F6A51" w:rsidRDefault="002F6A51" w:rsidP="002B6624">
      <w:pPr>
        <w:spacing w:after="0" w:line="240" w:lineRule="auto"/>
      </w:pPr>
      <w:r>
        <w:separator/>
      </w:r>
    </w:p>
  </w:endnote>
  <w:endnote w:type="continuationSeparator" w:id="0">
    <w:p w14:paraId="2763CDD8" w14:textId="77777777" w:rsidR="002F6A51" w:rsidRDefault="002F6A51" w:rsidP="002B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965B" w14:textId="77777777" w:rsidR="002F6A51" w:rsidRDefault="002F6A51" w:rsidP="002B6624">
      <w:pPr>
        <w:spacing w:after="0" w:line="240" w:lineRule="auto"/>
      </w:pPr>
      <w:r>
        <w:separator/>
      </w:r>
    </w:p>
  </w:footnote>
  <w:footnote w:type="continuationSeparator" w:id="0">
    <w:p w14:paraId="210D26C7" w14:textId="77777777" w:rsidR="002F6A51" w:rsidRDefault="002F6A51" w:rsidP="002B6624">
      <w:pPr>
        <w:spacing w:after="0" w:line="240" w:lineRule="auto"/>
      </w:pPr>
      <w:r>
        <w:continuationSeparator/>
      </w:r>
    </w:p>
  </w:footnote>
  <w:footnote w:id="1">
    <w:p w14:paraId="500A9F2C" w14:textId="7F77F35D" w:rsidR="0099032A" w:rsidRPr="00755B6D" w:rsidRDefault="009903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55B6D">
        <w:t>http://www.who.int</w:t>
      </w:r>
      <w:r>
        <w:t>/tb/country/data/profiles/en/</w:t>
      </w:r>
      <w:r w:rsidRPr="00755B6D">
        <w:t xml:space="preserve">  </w:t>
      </w:r>
    </w:p>
  </w:footnote>
  <w:footnote w:id="2">
    <w:p w14:paraId="1658DA21" w14:textId="0799D347" w:rsidR="0099032A" w:rsidRPr="004710CE" w:rsidRDefault="0099032A" w:rsidP="005144C9">
      <w:pPr>
        <w:pStyle w:val="FootnoteText"/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>Schnippel K</w:t>
      </w:r>
      <w:r>
        <w:t xml:space="preserve"> </w:t>
      </w:r>
      <w:r w:rsidRPr="004710CE">
        <w:t>et al. Effect of bedaquiline on mortality in South African patients with drug-resistant tuberculosis: a retrospective cohort study. Lancet Respir Med 2018</w:t>
      </w:r>
      <w:r>
        <w:t>.</w:t>
      </w:r>
      <w:r w:rsidRPr="004710CE">
        <w:t xml:space="preserve"> http://dx.doi.org/10.1016/S2213-2600(18)30235-2</w:t>
      </w:r>
    </w:p>
  </w:footnote>
  <w:footnote w:id="3">
    <w:p w14:paraId="7B0E1C0C" w14:textId="442D63D5" w:rsidR="0099032A" w:rsidRPr="004710CE" w:rsidRDefault="0099032A" w:rsidP="005144C9">
      <w:pPr>
        <w:pStyle w:val="FootnoteText"/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>Ionescu AM</w:t>
      </w:r>
      <w:r>
        <w:t xml:space="preserve"> </w:t>
      </w:r>
      <w:r w:rsidRPr="004710CE">
        <w:t>et al. Bedaquiline- versus injectable-containing drug-resistant tuberculosis regimens: a cost-effectiveness analysis. Expert Rev Pharmacoecon</w:t>
      </w:r>
    </w:p>
    <w:p w14:paraId="20071C98" w14:textId="334AF5BA" w:rsidR="0099032A" w:rsidRPr="004710CE" w:rsidRDefault="0099032A" w:rsidP="005144C9">
      <w:pPr>
        <w:pStyle w:val="FootnoteText"/>
        <w:rPr>
          <w:lang w:val="en-US"/>
        </w:rPr>
      </w:pPr>
      <w:r w:rsidRPr="004710CE">
        <w:t>Outcomes Res. 2018 doi: 10.1080/14737167.2018.1507821.</w:t>
      </w:r>
    </w:p>
  </w:footnote>
  <w:footnote w:id="4">
    <w:p w14:paraId="29D716F4" w14:textId="06E5FB4B" w:rsidR="0099032A" w:rsidRPr="004710CE" w:rsidRDefault="0099032A" w:rsidP="009A21D0">
      <w:pPr>
        <w:pStyle w:val="FootnoteText"/>
      </w:pPr>
      <w:r w:rsidRPr="004710CE">
        <w:rPr>
          <w:rStyle w:val="FootnoteReference"/>
        </w:rPr>
        <w:footnoteRef/>
      </w:r>
      <w:r w:rsidRPr="004710CE">
        <w:t xml:space="preserve">  </w:t>
      </w:r>
      <w:r w:rsidRPr="004710CE">
        <w:t>Reuter A et al. The devil we know: is the use of injectable agents for the treatment of MDR-TB justified? Int J Tuberc Lung Dis. 2017 doi:10.5588/ijtld.17.0468.</w:t>
      </w:r>
    </w:p>
  </w:footnote>
  <w:footnote w:id="5">
    <w:p w14:paraId="23168514" w14:textId="5DD577EA" w:rsidR="0099032A" w:rsidRPr="004710CE" w:rsidRDefault="0099032A">
      <w:pPr>
        <w:pStyle w:val="FootnoteText"/>
        <w:rPr>
          <w:lang w:val="en-US"/>
        </w:rPr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>http://www.who.int/tb/publications/2018/WHO_RapidCommunicationMDRTB.pdf</w:t>
      </w:r>
    </w:p>
  </w:footnote>
  <w:footnote w:id="6">
    <w:p w14:paraId="71FC9913" w14:textId="3EF9A1DC" w:rsidR="0099032A" w:rsidRPr="004710CE" w:rsidRDefault="0099032A">
      <w:pPr>
        <w:pStyle w:val="FootnoteText"/>
        <w:rPr>
          <w:lang w:val="en-US"/>
        </w:rPr>
      </w:pPr>
      <w:r w:rsidRPr="004710CE">
        <w:rPr>
          <w:rStyle w:val="FootnoteReference"/>
        </w:rPr>
        <w:footnoteRef/>
      </w:r>
      <w:r>
        <w:t xml:space="preserve"> </w:t>
      </w:r>
      <w:r>
        <w:t xml:space="preserve">Jaspard </w:t>
      </w:r>
      <w:r w:rsidRPr="004710CE">
        <w:t>M</w:t>
      </w:r>
      <w:r>
        <w:t xml:space="preserve"> </w:t>
      </w:r>
      <w:r w:rsidRPr="004710CE">
        <w:t xml:space="preserve">et al. Bedaquiline and linezolid for extensively drug-resistant tuberculosis in a pregnant woman.  Emerging Infectious Diseases 2017: </w:t>
      </w:r>
      <w:hyperlink r:id="rId1" w:history="1">
        <w:r w:rsidRPr="004710CE">
          <w:rPr>
            <w:rStyle w:val="Hyperlink"/>
          </w:rPr>
          <w:t>https://wwwnc.cdc.gov/eid/article/23/10/16-1398_article</w:t>
        </w:r>
      </w:hyperlink>
      <w:r w:rsidRPr="004710CE">
        <w:t xml:space="preserve">. </w:t>
      </w:r>
    </w:p>
  </w:footnote>
  <w:footnote w:id="7">
    <w:p w14:paraId="64D1DBC8" w14:textId="09C3519D" w:rsidR="0099032A" w:rsidRPr="004710CE" w:rsidRDefault="0099032A">
      <w:pPr>
        <w:pStyle w:val="FootnoteText"/>
        <w:rPr>
          <w:lang w:val="en-US"/>
        </w:rPr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 xml:space="preserve">Ferlazzo G et al. Early safety and efficacy of the combination of bedaquiline and delamanid for the treatment of patients with drug-resistant tuberculosis in Armenia, India, and South Africa: a retrospective cohort study. Lancet Infect Dis. 2018 </w:t>
      </w:r>
    </w:p>
  </w:footnote>
  <w:footnote w:id="8">
    <w:p w14:paraId="4E219E75" w14:textId="2F0F797C" w:rsidR="0099032A" w:rsidRPr="004710CE" w:rsidRDefault="0099032A">
      <w:pPr>
        <w:pStyle w:val="FootnoteText"/>
        <w:rPr>
          <w:lang w:val="en-US"/>
        </w:rPr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 xml:space="preserve">Guglielmetti L et al. Long-term outcome and safety of prolonged bedaquiline treatment for multidrug-resistant tuberculosis.Eur Respir J. 2017 doi: 10.1183/13993003.01799-2016. </w:t>
      </w:r>
    </w:p>
  </w:footnote>
  <w:footnote w:id="9">
    <w:p w14:paraId="592F1C7B" w14:textId="11136562" w:rsidR="0099032A" w:rsidRPr="004710CE" w:rsidRDefault="0099032A" w:rsidP="007C1E43">
      <w:pPr>
        <w:pStyle w:val="FootnoteText"/>
      </w:pPr>
      <w:r w:rsidRPr="004710CE">
        <w:rPr>
          <w:rStyle w:val="FootnoteReference"/>
        </w:rPr>
        <w:footnoteRef/>
      </w:r>
      <w:r w:rsidRPr="004710CE">
        <w:t xml:space="preserve"> </w:t>
      </w:r>
      <w:r w:rsidRPr="004710CE">
        <w:t>http://apps.who.int/iris/bitstream/handle/10665/250125/9789241549639-eng.pdf?sequence=1</w:t>
      </w:r>
    </w:p>
  </w:footnote>
  <w:footnote w:id="10">
    <w:p w14:paraId="65A7FD2A" w14:textId="4C7C7664" w:rsidR="0099032A" w:rsidRPr="004710CE" w:rsidRDefault="0099032A" w:rsidP="007C1E43">
      <w:pPr>
        <w:pStyle w:val="FootnoteText"/>
      </w:pPr>
      <w:r w:rsidRPr="004710CE">
        <w:rPr>
          <w:rStyle w:val="FootnoteReference"/>
        </w:rPr>
        <w:footnoteRef/>
      </w:r>
      <w:r w:rsidRPr="004710CE">
        <w:t xml:space="preserve"> http://www.who.int/tb/publications/Delamanid_interim_policy/en/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9CE"/>
    <w:multiLevelType w:val="hybridMultilevel"/>
    <w:tmpl w:val="7374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D57"/>
    <w:multiLevelType w:val="hybridMultilevel"/>
    <w:tmpl w:val="F5EA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91"/>
    <w:rsid w:val="00011743"/>
    <w:rsid w:val="00037B0A"/>
    <w:rsid w:val="0004431F"/>
    <w:rsid w:val="00044E2D"/>
    <w:rsid w:val="00067B0B"/>
    <w:rsid w:val="000740C6"/>
    <w:rsid w:val="000847A0"/>
    <w:rsid w:val="00085CD3"/>
    <w:rsid w:val="000A4095"/>
    <w:rsid w:val="000A7F8B"/>
    <w:rsid w:val="000C4552"/>
    <w:rsid w:val="000E336E"/>
    <w:rsid w:val="000F7DFC"/>
    <w:rsid w:val="0011764D"/>
    <w:rsid w:val="00122C67"/>
    <w:rsid w:val="00162109"/>
    <w:rsid w:val="00165A7F"/>
    <w:rsid w:val="00175895"/>
    <w:rsid w:val="00176550"/>
    <w:rsid w:val="001778E7"/>
    <w:rsid w:val="001931F3"/>
    <w:rsid w:val="001A1CD4"/>
    <w:rsid w:val="001A1DCF"/>
    <w:rsid w:val="001C2DF9"/>
    <w:rsid w:val="001E2243"/>
    <w:rsid w:val="001F267F"/>
    <w:rsid w:val="001F5322"/>
    <w:rsid w:val="00207178"/>
    <w:rsid w:val="002072DF"/>
    <w:rsid w:val="002137AA"/>
    <w:rsid w:val="0021710B"/>
    <w:rsid w:val="00231386"/>
    <w:rsid w:val="00256520"/>
    <w:rsid w:val="00264EC4"/>
    <w:rsid w:val="00271579"/>
    <w:rsid w:val="00273840"/>
    <w:rsid w:val="002921EF"/>
    <w:rsid w:val="00294977"/>
    <w:rsid w:val="002A3156"/>
    <w:rsid w:val="002B6624"/>
    <w:rsid w:val="002C2118"/>
    <w:rsid w:val="002D002A"/>
    <w:rsid w:val="002D0CAF"/>
    <w:rsid w:val="002D37FA"/>
    <w:rsid w:val="002D7194"/>
    <w:rsid w:val="002F6A51"/>
    <w:rsid w:val="002F7D3A"/>
    <w:rsid w:val="00306D2E"/>
    <w:rsid w:val="00314B77"/>
    <w:rsid w:val="0032433B"/>
    <w:rsid w:val="003408A4"/>
    <w:rsid w:val="00346DB6"/>
    <w:rsid w:val="00357446"/>
    <w:rsid w:val="00371ACB"/>
    <w:rsid w:val="00384145"/>
    <w:rsid w:val="00391A67"/>
    <w:rsid w:val="00391D07"/>
    <w:rsid w:val="003C19CF"/>
    <w:rsid w:val="003C790E"/>
    <w:rsid w:val="003D2114"/>
    <w:rsid w:val="003F70E6"/>
    <w:rsid w:val="00403D76"/>
    <w:rsid w:val="00405922"/>
    <w:rsid w:val="00432FFD"/>
    <w:rsid w:val="00434216"/>
    <w:rsid w:val="00470F60"/>
    <w:rsid w:val="004710CE"/>
    <w:rsid w:val="00471E45"/>
    <w:rsid w:val="004B2095"/>
    <w:rsid w:val="004B31F3"/>
    <w:rsid w:val="004B5B61"/>
    <w:rsid w:val="004C099E"/>
    <w:rsid w:val="004E0F23"/>
    <w:rsid w:val="004F221C"/>
    <w:rsid w:val="00502B42"/>
    <w:rsid w:val="005112A8"/>
    <w:rsid w:val="005144C9"/>
    <w:rsid w:val="005163BE"/>
    <w:rsid w:val="00516B77"/>
    <w:rsid w:val="00541113"/>
    <w:rsid w:val="0055668C"/>
    <w:rsid w:val="005779BC"/>
    <w:rsid w:val="00580936"/>
    <w:rsid w:val="00584A92"/>
    <w:rsid w:val="00587FDE"/>
    <w:rsid w:val="00596D2A"/>
    <w:rsid w:val="005C3E8C"/>
    <w:rsid w:val="005E1047"/>
    <w:rsid w:val="005E6F3A"/>
    <w:rsid w:val="005F2987"/>
    <w:rsid w:val="006060F7"/>
    <w:rsid w:val="00613B0A"/>
    <w:rsid w:val="006228A6"/>
    <w:rsid w:val="00635059"/>
    <w:rsid w:val="006350C5"/>
    <w:rsid w:val="00641DF7"/>
    <w:rsid w:val="006460C3"/>
    <w:rsid w:val="00660608"/>
    <w:rsid w:val="006637BD"/>
    <w:rsid w:val="00681B26"/>
    <w:rsid w:val="00682BFB"/>
    <w:rsid w:val="0068570B"/>
    <w:rsid w:val="0069102A"/>
    <w:rsid w:val="0069226D"/>
    <w:rsid w:val="00695E23"/>
    <w:rsid w:val="006A7324"/>
    <w:rsid w:val="006C2A6B"/>
    <w:rsid w:val="006C7826"/>
    <w:rsid w:val="006E12A1"/>
    <w:rsid w:val="0072641D"/>
    <w:rsid w:val="00726B00"/>
    <w:rsid w:val="00732D4E"/>
    <w:rsid w:val="00755B6D"/>
    <w:rsid w:val="00784691"/>
    <w:rsid w:val="00790955"/>
    <w:rsid w:val="007C1E43"/>
    <w:rsid w:val="007C3060"/>
    <w:rsid w:val="007D5DA5"/>
    <w:rsid w:val="007D6FE7"/>
    <w:rsid w:val="007F25CA"/>
    <w:rsid w:val="007F4D90"/>
    <w:rsid w:val="007F7797"/>
    <w:rsid w:val="00855A59"/>
    <w:rsid w:val="0085750A"/>
    <w:rsid w:val="00860AF0"/>
    <w:rsid w:val="00861D64"/>
    <w:rsid w:val="008656E9"/>
    <w:rsid w:val="00870AE0"/>
    <w:rsid w:val="008B0833"/>
    <w:rsid w:val="008C5686"/>
    <w:rsid w:val="008C5E3E"/>
    <w:rsid w:val="008E0BA3"/>
    <w:rsid w:val="008E6F0A"/>
    <w:rsid w:val="008F042F"/>
    <w:rsid w:val="008F7AAE"/>
    <w:rsid w:val="00900330"/>
    <w:rsid w:val="00901D98"/>
    <w:rsid w:val="00932E02"/>
    <w:rsid w:val="00961914"/>
    <w:rsid w:val="00984EF8"/>
    <w:rsid w:val="0099032A"/>
    <w:rsid w:val="0099553E"/>
    <w:rsid w:val="00996EE5"/>
    <w:rsid w:val="009A1C5F"/>
    <w:rsid w:val="009A21D0"/>
    <w:rsid w:val="009A5D6F"/>
    <w:rsid w:val="009A737C"/>
    <w:rsid w:val="009C5B7E"/>
    <w:rsid w:val="009E2D1D"/>
    <w:rsid w:val="009E32ED"/>
    <w:rsid w:val="009E5757"/>
    <w:rsid w:val="009E699C"/>
    <w:rsid w:val="009F7CA5"/>
    <w:rsid w:val="00A00354"/>
    <w:rsid w:val="00A05B5E"/>
    <w:rsid w:val="00A20884"/>
    <w:rsid w:val="00A242A5"/>
    <w:rsid w:val="00A36F52"/>
    <w:rsid w:val="00A45931"/>
    <w:rsid w:val="00A53BD2"/>
    <w:rsid w:val="00A53C9D"/>
    <w:rsid w:val="00A837B5"/>
    <w:rsid w:val="00A95796"/>
    <w:rsid w:val="00AF70D5"/>
    <w:rsid w:val="00B3128F"/>
    <w:rsid w:val="00B3269C"/>
    <w:rsid w:val="00B61476"/>
    <w:rsid w:val="00B92122"/>
    <w:rsid w:val="00BA407C"/>
    <w:rsid w:val="00BC5BC5"/>
    <w:rsid w:val="00BE09DB"/>
    <w:rsid w:val="00BE5D38"/>
    <w:rsid w:val="00C056D7"/>
    <w:rsid w:val="00C24587"/>
    <w:rsid w:val="00C264D0"/>
    <w:rsid w:val="00C31B79"/>
    <w:rsid w:val="00C4019A"/>
    <w:rsid w:val="00C4487A"/>
    <w:rsid w:val="00C648A9"/>
    <w:rsid w:val="00C777AC"/>
    <w:rsid w:val="00C95046"/>
    <w:rsid w:val="00CA0C9E"/>
    <w:rsid w:val="00CA38B3"/>
    <w:rsid w:val="00CA4A0C"/>
    <w:rsid w:val="00CB0C89"/>
    <w:rsid w:val="00CC0846"/>
    <w:rsid w:val="00CD2672"/>
    <w:rsid w:val="00CD2A14"/>
    <w:rsid w:val="00CF691E"/>
    <w:rsid w:val="00CF7CF3"/>
    <w:rsid w:val="00D210EF"/>
    <w:rsid w:val="00D21A6B"/>
    <w:rsid w:val="00D27C40"/>
    <w:rsid w:val="00D74CB7"/>
    <w:rsid w:val="00D90691"/>
    <w:rsid w:val="00D942CB"/>
    <w:rsid w:val="00D97DCA"/>
    <w:rsid w:val="00DB31E3"/>
    <w:rsid w:val="00DB430A"/>
    <w:rsid w:val="00DD04F3"/>
    <w:rsid w:val="00DD073A"/>
    <w:rsid w:val="00DE50E4"/>
    <w:rsid w:val="00DF37DB"/>
    <w:rsid w:val="00DF5F78"/>
    <w:rsid w:val="00E014F3"/>
    <w:rsid w:val="00E02CBD"/>
    <w:rsid w:val="00E03689"/>
    <w:rsid w:val="00E060E8"/>
    <w:rsid w:val="00E11725"/>
    <w:rsid w:val="00E17F83"/>
    <w:rsid w:val="00E3255C"/>
    <w:rsid w:val="00E34912"/>
    <w:rsid w:val="00E63CEB"/>
    <w:rsid w:val="00E76023"/>
    <w:rsid w:val="00E945EF"/>
    <w:rsid w:val="00EC7446"/>
    <w:rsid w:val="00EE1E0C"/>
    <w:rsid w:val="00F01ADF"/>
    <w:rsid w:val="00F0443D"/>
    <w:rsid w:val="00F30B6D"/>
    <w:rsid w:val="00F426AD"/>
    <w:rsid w:val="00F50906"/>
    <w:rsid w:val="00F6026B"/>
    <w:rsid w:val="00F6381A"/>
    <w:rsid w:val="00F85697"/>
    <w:rsid w:val="00FA3BFB"/>
    <w:rsid w:val="00FC1216"/>
    <w:rsid w:val="00FC363E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D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24"/>
  </w:style>
  <w:style w:type="paragraph" w:styleId="Footer">
    <w:name w:val="footer"/>
    <w:basedOn w:val="Normal"/>
    <w:link w:val="FooterChar"/>
    <w:uiPriority w:val="99"/>
    <w:unhideWhenUsed/>
    <w:rsid w:val="002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24"/>
  </w:style>
  <w:style w:type="paragraph" w:styleId="FootnoteText">
    <w:name w:val="footnote text"/>
    <w:basedOn w:val="Normal"/>
    <w:link w:val="FootnoteTextChar"/>
    <w:uiPriority w:val="99"/>
    <w:unhideWhenUsed/>
    <w:rsid w:val="002B6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662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3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0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505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6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32E0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2E0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2E0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6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D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24"/>
  </w:style>
  <w:style w:type="paragraph" w:styleId="Footer">
    <w:name w:val="footer"/>
    <w:basedOn w:val="Normal"/>
    <w:link w:val="FooterChar"/>
    <w:uiPriority w:val="99"/>
    <w:unhideWhenUsed/>
    <w:rsid w:val="002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24"/>
  </w:style>
  <w:style w:type="paragraph" w:styleId="FootnoteText">
    <w:name w:val="footnote text"/>
    <w:basedOn w:val="Normal"/>
    <w:link w:val="FootnoteTextChar"/>
    <w:uiPriority w:val="99"/>
    <w:unhideWhenUsed/>
    <w:rsid w:val="002B6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662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3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0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505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6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32E0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2E0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2E0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6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furin@gmail.com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nc.cdc.gov/eid/article/23/10/16-1398_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1AC0-FD93-B541-82B0-5DF5BCE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</dc:creator>
  <cp:keywords/>
  <dc:description/>
  <cp:lastModifiedBy>Erica Lessem</cp:lastModifiedBy>
  <cp:revision>3</cp:revision>
  <cp:lastPrinted>2018-07-10T15:04:00Z</cp:lastPrinted>
  <dcterms:created xsi:type="dcterms:W3CDTF">2018-09-08T12:12:00Z</dcterms:created>
  <dcterms:modified xsi:type="dcterms:W3CDTF">2018-09-21T02:09:00Z</dcterms:modified>
</cp:coreProperties>
</file>